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VITAAI PLATFORM</w:t>
      </w:r>
    </w:p>
    <w:p>
      <w:pPr>
        <w:pBdr>
          <w:bottom w:val="single" w:color="1E7898" w:sz="8" w:space="1"/>
        </w:pBdr>
        <w:spacing w:after="60" w:before="0"/>
        <w:jc w:val="center"/>
      </w:pPr>
      <w:r>
        <w:rPr>
          <w:rFonts w:ascii="Arial" w:cs="Arial" w:eastAsia="Arial" w:hAnsi="Arial"/>
          <w:b/>
          <w:bCs/>
          <w:color w:val="1E7898"/>
          <w:sz w:val="34"/>
          <w:szCs w:val="34"/>
        </w:rPr>
        <w:t xml:space="preserve">HIPAA Security Rule Self-Assessment Checklist</w:t>
      </w:r>
    </w:p>
    <w:p>
      <w:pPr>
        <w:spacing w:after="80" w:before="60"/>
      </w:pPr>
    </w:p>
    <w:p>
      <w:pPr>
        <w:spacing w:after="60" w:before="0"/>
        <w:jc w:val="center"/>
      </w:pPr>
      <w:r>
        <w:rPr>
          <w:rFonts w:ascii="Arial" w:cs="Arial" w:eastAsia="Arial" w:hAnsi="Arial"/>
          <w:i/>
          <w:iCs/>
          <w:color w:val="333333"/>
          <w:sz w:val="22"/>
          <w:szCs w:val="22"/>
        </w:rPr>
        <w:t xml:space="preserve">45 CFR Part 164 — Administrative, Physical, and Technical Safeguards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Assessment Date: June 2026  |  Assessor: Altnetix, LLC Security Officer  |  Version 1.0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E8F5E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48"/>
                <w:szCs w:val="48"/>
              </w:rPr>
              <w:t xml:space="preserve">46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20"/>
                <w:szCs w:val="20"/>
              </w:rPr>
              <w:t xml:space="preserve">Implemented (✓)</w:t>
            </w:r>
          </w:p>
        </w:tc>
        <w:tc>
          <w:tcPr>
            <w:tcW w:type="dxa" w:w="234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FFF4E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48"/>
                <w:szCs w:val="48"/>
              </w:rPr>
              <w:t xml:space="preserve">5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20"/>
                <w:szCs w:val="20"/>
              </w:rPr>
              <w:t xml:space="preserve">Partial (◑)</w:t>
            </w:r>
          </w:p>
        </w:tc>
        <w:tc>
          <w:tcPr>
            <w:tcW w:type="dxa" w:w="234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FDE8E8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B0000"/>
                <w:sz w:val="48"/>
                <w:szCs w:val="48"/>
              </w:rPr>
              <w:t xml:space="preserve">3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B0000"/>
                <w:sz w:val="20"/>
                <w:szCs w:val="20"/>
              </w:rPr>
              <w:t xml:space="preserve">Gap (✗)</w:t>
            </w:r>
          </w:p>
        </w:tc>
        <w:tc>
          <w:tcPr>
            <w:tcW w:type="dxa" w:w="234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55555"/>
                <w:sz w:val="48"/>
                <w:szCs w:val="48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N/A</w:t>
            </w:r>
          </w:p>
        </w:tc>
      </w:tr>
    </w:tbl>
    <w:p>
      <w:pPr>
        <w:spacing w:after="80" w:before="120"/>
      </w:pPr>
    </w:p>
    <w:p>
      <w:pPr>
        <w:pBdr>
          <w:left w:val="single" w:color="7A4800" w:sz="18" w:space="4"/>
        </w:pBdr>
        <w:shd w:fill="F5F5F5" w:val="clear"/>
        <w:spacing w:after="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Legend: ✓ Implemented = control fully operational in production. ◑ Partial = control exists but has identified improvement areas. ✗ Gap = control not yet implemented; remediation required. N/A = not applicable to this platform.</w:t>
      </w:r>
    </w:p>
    <w:p>
      <w:r>
        <w:br w:type="page"/>
      </w:r>
    </w:p>
    <w:p>
      <w:pPr>
        <w:pStyle w:val="Heading1"/>
        <w:spacing w:after="100" w:before="3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Part 1 — Administrative Safeguards (§164.308)</w:t>
      </w:r>
    </w:p>
    <w:p>
      <w:pPr>
        <w:pBdr>
          <w:bottom w:val="single" w:color="1E7898" w:sz="6" w:space="1"/>
        </w:pBdr>
        <w:spacing w:after="12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5960"/>
      </w:tblGrid>
      <w:tr>
        <w:trPr>
          <w:tblHeader/>
        </w:trPr>
        <w:tc>
          <w:tcPr>
            <w:tcW w:type="dxa" w:w="24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Requirement</w:t>
            </w:r>
          </w:p>
        </w:tc>
        <w:tc>
          <w:tcPr>
            <w:tcW w:type="dxa" w:w="10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596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Implementation Notes / Remediation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§164.308(a)(1) — Security Management Process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§164.308(a)(1)(ii)(A)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Risk Analysis (R): Conduct accurate and thorough assessment of potential risks and vulnerabilities to PHI.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Annual HIPAA risk assessment conducted; threat model covers patient portal, EHR integration, AI transcription, and audit subsystem.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§164.308(a)(1)(ii)(B)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Risk Management (R): Implement security measures to reduce risks to reasonable and appropriate level.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Risks tracked in Breach Incident Management module; remediation timelines assigned by severity.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§164.308(a)(1)(ii)(C)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Sanction Policy (R): Apply appropriate sanctions against workforce members who fail to comply.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Documented sanction policy; Entra ID accounts disabled immediately on policy violation; token revocation table invalidates all active sessions.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§164.308(a)(1)(ii)(D)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Information System Activity Review (R): Implement procedures to regularly review records of information system activity.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AuditMiddleware logs every API request; SHA-256 hash-chained; 6-year WORM archive; weekly review cadence with anomaly alerting.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§164.308(a)(2) — Assigned Security Responsibility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§164.308(a)(2)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Identify the security official responsible for policies and procedures (R).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Designated Security Officer at Altnetix, LLC; documented responsibility for HIPAA compliance oversight, policy maintenance, and incident response.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§164.308(a)(3) — Workforce Security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§164.308(a)(3)(ii)(A)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Authorization and/or Supervision (A): Implement procedures for authorization/supervision of workforce.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All PHI-access users credentialed through Azure Entra ID; explicit app role assignment required (Administrator or Clinician).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§164.308(a)(3)(ii)(B)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Workforce Clearance Procedure (A): Implement procedures to determine appropriate access for workforce.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Background checks conducted prior to PHI access provisioning for all clinical staff.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§164.308(a)(3)(ii)(C)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Termination Procedures (A): Implement procedures for terminating access upon employment termination.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Entra ID account disabled on termination; all active tokens revoked via RevokedTokens (jti blocklist); sessions invalidated within 60 min.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§164.308(a)(4) — Information Access Management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§164.308(a)(4)(ii)(A)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Isolating Health Care Clearinghouse Functions (R): Implement policies for clearinghouse functions.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N/A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VitaAI is not a healthcare clearinghouse. N/A.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§164.308(a)(4)(ii)(B)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Access Authorization (A): Implement policies for authorizing access to ePHI.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RBAC enforced at API middleware; ProviderOnly and PatientOnly policies; cross-role access architecturally prevented.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§164.308(a)(4)(ii)(C)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Access Establishment and Modification (A): Implement procedures for granting/modifying access.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Roles managed in Azure Entra ID enterprise app; changes effective immediately on next token acquisition.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§164.308(a)(5) — Security Awareness and Training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§164.308(a)(5)(ii)(A)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Security Reminders (A): Periodic security updates for workforce.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Annual HIPAA security training for all PHI-access workforce; platform change security briefings for technical staff.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§164.308(a)(5)(ii)(B)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Protection from Malicious Software (A): Procedures for guarding against malicious software.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Endpoint protection required on all workforce devices; NuGet audit and OWASP dependency check in CI/CD pipeline.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§164.308(a)(5)(ii)(C)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Log-in Monitoring (A): Procedures for monitoring log-in attempts and reporting discrepancies.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UserLoginFailed events logged; rate limiting 10 auth/min; account lockout after 5 failures; automated anomaly alerting.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§164.308(a)(5)(ii)(D)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Password Management (A): Procedures for creating, changing, and safeguarding passwords.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NIST 800-63B: 12+ chars, mixed case, digit, special char, 6 unique. JWT signing keys validated &gt;= 32 chars at startup.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§164.308(a)(6) — Security Incident Procedures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§164.308(a)(6)(ii)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Response and Reporting (R): Identify and respond to security incidents; mitigate harmful effects; document incidents.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Built-in Breach Incident Management API (BreachController); full lifecycle tracking; HHS/individual notification deadline tracking; audit trail.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§164.308(a)(7) — Contingency Plan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§164.308(a)(7)(ii)(A)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Data Backup Plan (R): Create and maintain retrievable exact copies of ePHI.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Azure SQL geo-redundant automated backups (35-day PITR); Blob Storage WORM archive (6-year); Key Vault geo-redundant.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§164.308(a)(7)(ii)(B)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Disaster Recovery Plan (R): Restore loss of data.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Azure SQL failover groups (RTO &lt; 1hr, RPO &lt; 5 min); App Service blue/green deployment; DR tested annually.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§164.308(a)(7)(ii)(C)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Emergency Mode Operation Plan (R): Enable continuation of critical business processes for PHI during emergency.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Emergency access credentials in Azure Key Vault; break-glass procedure documented; emergency events auto-flagged in audit.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§164.308(a)(7)(ii)(D)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Testing and Revision Procedures (A): Implement procedures for periodic testing of contingency plans.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◑ Partial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DR procedures tested annually. Gap: results not formally documented and versioned. Remediation: create DR test report template and archive results.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§164.308(a)(7)(ii)(E)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Applications and Data Criticality Analysis (A): Assess relative criticality of applications and data.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◑ Partial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Informal criticality ranking exists. Gap: formal BIA (Business Impact Analysis) document not published. Remediation: complete BIA document by Q3 2026.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§164.308(a)(8) — Evaluation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§164.308(a)(8)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Evaluation (R): Perform periodic technical and non-technical evaluation of security standards.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Annual HIPAA self-assessment; external penetration testing annually; automated vulnerability scanning in CI/CD.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§164.308(b) — Business Associate Contracts and Other Arrangements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§164.308(b)(1)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Business Associate Contracts (R): Written contract or arrangement satisfactory assurances.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Microsoft Azure BAA executed (covers SQL, Blob, Service Bus, Key Vault, App Insights, Azure OpenAI). BAA template available for covered entities.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§164.308(b)(4)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Written Contract or Other Arrangement (R): Document satisfactory assurances.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BAA inventory maintained; all subprocessors reviewed annually. Standard BAA template maintained.</w:t>
            </w:r>
          </w:p>
        </w:tc>
      </w:tr>
    </w:tbl>
    <w:p>
      <w:r>
        <w:br w:type="page"/>
      </w:r>
    </w:p>
    <w:p>
      <w:pPr>
        <w:pStyle w:val="Heading1"/>
        <w:spacing w:after="100" w:before="3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Part 2 — Physical Safeguards (§164.310)</w:t>
      </w:r>
    </w:p>
    <w:p>
      <w:pPr>
        <w:pBdr>
          <w:bottom w:val="single" w:color="1E7898" w:sz="6" w:space="1"/>
        </w:pBdr>
        <w:spacing w:after="12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5960"/>
      </w:tblGrid>
      <w:tr>
        <w:trPr>
          <w:tblHeader/>
        </w:trPr>
        <w:tc>
          <w:tcPr>
            <w:tcW w:type="dxa" w:w="24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Requirement</w:t>
            </w:r>
          </w:p>
        </w:tc>
        <w:tc>
          <w:tcPr>
            <w:tcW w:type="dxa" w:w="10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596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Implementation Notes / Remediation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§164.310(a) — Facility Access Controls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§164.310(a)(2)(i)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Contingency Operations (A): Establish procedures to allow physical access to support data restoration.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Azure-managed data centers; break-glass procedure provides emergency API access; documented in emergency mode operations plan.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§164.310(a)(2)(ii)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Facility Security Plan (A): Implement policies to safeguard facility and equipment from unauthorized physical access.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VitaAI is 100% cloud-native on Azure. Azure data centers: biometric access, man-trap, 24/7 security, video surveillance — ISO 27001 certified.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§164.310(a)(2)(iii)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Access Control and Validation Procedures (A): Implement procedures to control and validate a person's access.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Azure Conditional Access enforces device compliance; MDM enrollment required for admin portal access; remote wipe via Intune.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§164.310(a)(2)(iv)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Maintenance Records (A): Implement policies for maintenance of security-relevant facility components.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Azure infrastructure maintenance managed by Microsoft; change management records maintained via Azure Activity Log.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§164.310(b) — Workstation Use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Workstation Use (R): Implement policies specifying proper functions and physical attributes of workstations.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Workforce policy: full-disk encryption (BitLocker/FileVault), screen lock after 5 min, MDM enrollment, EDR required.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§164.310(c) — Workstation Security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Workstation Security (R): Implement physical safeguards for workstations that access ePHI.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Azure AD Conditional Access enforces device posture; clear-screen policy; endpoint protection policy enforced via MDM.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§164.310(d) — Device and Media Controls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§164.310(d)(2)(i)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Disposal (R): Implement policies for final disposition of ePHI and/or hardware.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No PHI on portable media; Azure-managed disposal; NIST 800-88 media sanitization policy for any workforce devices.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§164.310(d)(2)(ii)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Media Re-Use (R): Implement procedures for removal of ePHI from electronic media before re-use.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No PHI stored on portable media. Enrolled devices wiped via Intune before reassignment.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§164.310(d)(2)(iii)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Accountability (A): Maintain a record of the movements of hardware and electronic media.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◑ Partial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Device tracking via x-device-id audit header. Gap: formal hardware asset inventory for workforce endpoints not maintained. Remediation: Intune device inventory report to serve as formal register.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§164.310(d)(2)(iv)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Data Backup and Storage (A): Create a retrievable exact copy of ePHI, when needed, before movement of equipment.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All PHI in Azure-managed services; no local copies; Azure automated backups cover all PHI at rest.</w:t>
            </w:r>
          </w:p>
        </w:tc>
      </w:tr>
    </w:tbl>
    <w:p>
      <w:r>
        <w:br w:type="page"/>
      </w:r>
    </w:p>
    <w:p>
      <w:pPr>
        <w:pStyle w:val="Heading1"/>
        <w:spacing w:after="100" w:before="3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Part 3 — Technical Safeguards (§164.312)</w:t>
      </w:r>
    </w:p>
    <w:p>
      <w:pPr>
        <w:pBdr>
          <w:bottom w:val="single" w:color="1E7898" w:sz="6" w:space="1"/>
        </w:pBdr>
        <w:spacing w:after="12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5960"/>
      </w:tblGrid>
      <w:tr>
        <w:trPr>
          <w:tblHeader/>
        </w:trPr>
        <w:tc>
          <w:tcPr>
            <w:tcW w:type="dxa" w:w="24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Requirement</w:t>
            </w:r>
          </w:p>
        </w:tc>
        <w:tc>
          <w:tcPr>
            <w:tcW w:type="dxa" w:w="10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596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Implementation Notes / Remediation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§164.312(a) — Access Control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§164.312(a)(1)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Access Control (R): Implement technical policies and procedures for electronic information systems that maintain ePHI to allow access only to authorized persons.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API-level RBAC with ProviderOnly and PatientOnly authorization policies; JWT authentication required on all PHI endpoints.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§164.312(a)(2)(i)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Unique User Identification (R): Assign a unique name and/or number for identifying and tracking user identity.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Providers: Azure Entra ID Object ID (oid claim, globally unique). Patients: internal UUID (uid claim). All audit records include UserId + EntraObjectId.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§164.312(a)(2)(ii)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Emergency Access Procedure (R): Establish procedures for obtaining necessary ePHI during emergency.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Emergency credentials in Azure Key Vault with restricted policy; break-glass procedure documented; emergency events auto-flagged in audit log.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§164.312(a)(2)(iii)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Automatic Logoff (A): Implement procedures that terminate an electronic session after a period of inactivity.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JWT tokens expire after 60 minutes; MSAL enforces silent refresh; explicit logout inserts jti into RevokedTokens (HTTP 401 on next use).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§164.312(a)(2)(iv)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Encryption and Decryption (A): Implement a mechanism to encrypt and decrypt ePHI.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AES-256-GCM field-level encryption on 25+ PHI fields across 11 entities; envelope encryption via Azure Key Vault RSA-4096 master key; Azure SQL TDE.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§164.312(b) — Audit Controls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Audit Controls (R): Implement hardware, software, and/or procedural mechanisms that record and examine activity in systems that contain or use ePHI.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AuditMiddleware logs every request (UserId, EntraObjectId, ActionType, Path, IP, DeviceId, CorrelationId, PHI flag, SHA-256 hash). Hash-chained immutability. 6-year WORM Blob archive.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§164.312(c) — Integrity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§164.312(c)(1)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Integrity (R): Implement policies and procedures to protect ePHI from improper alteration or destruction.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AES-256-GCM authentication tag on every encrypted field (tamper detection). SHA-256 hash chain on audit logs. TLS 1.2+ in transit. InputSanitizationFilter at API boundary.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§164.312(c)(2)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Mechanism to Authenticate ePHI (A): Implement electronic mechanisms to corroborate that ePHI has not been altered or destroyed in an unauthorized manner.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GCM authentication tag proves ePHI integrity on decryption. Any modification of ciphertext produces AuthTagMismatch exception. Audit log hash chain provides forensic integrity.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§164.312(d) — Person or Entity Authentication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§164.312(d)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Person or Entity Authentication (R): Implement procedures to verify that a person or entity seeking access is the one claimed.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Three auth pathways: Azure Entra ID (RS256, MFA via Conditional Access), SAML 2.0 (signed assertions), Patient JWT (HS256 + account lockout + rate limiting). SmartAuth routing prevents cross-role token reuse.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§164.312(e) — Transmission Security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§164.312(e)(1)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Transmission Security (R): Implement technical security measures to guard against unauthorized access to ePHI that is being transmitted over an electronic communications network.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TLS 1.2+, HTTPS redirect enforced in all non-dev environments, HSTS max-age=31536000 with preload, WSS for WebSocket, ECDHE cipher suites for forward secrecy.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§164.312(e)(2)(i)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Integrity Controls (A): Implement security measures to ensure electronically transmitted ePHI is not improperly modified without detection.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TLS AEAD cipher suites provide transmission integrity. HTTPS redirect and HSTS prevent downgrade. CSP connect-src whitelist prevents unauthorized API endpoints.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§164.312(e)(2)(ii)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Encryption (A): Implement a mechanism to encrypt ePHI whenever deemed appropriate.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All ePHI transmission encrypted via TLS 1.2+. End-to-end: field-level AES-256-GCM at rest, TLS in transit, no unencrypted PHI ever leaves Azure boundary.</w:t>
            </w:r>
          </w:p>
        </w:tc>
      </w:tr>
    </w:tbl>
    <w:p>
      <w:r>
        <w:br w:type="page"/>
      </w:r>
    </w:p>
    <w:p>
      <w:pPr>
        <w:pStyle w:val="Heading1"/>
        <w:spacing w:after="100" w:before="3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Part 4 — Organizational Requirements &amp; Breach Notification</w:t>
      </w:r>
    </w:p>
    <w:p>
      <w:pPr>
        <w:pBdr>
          <w:bottom w:val="single" w:color="1E7898" w:sz="6" w:space="1"/>
        </w:pBdr>
        <w:spacing w:after="12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5960"/>
      </w:tblGrid>
      <w:tr>
        <w:trPr>
          <w:tblHeader/>
        </w:trPr>
        <w:tc>
          <w:tcPr>
            <w:tcW w:type="dxa" w:w="24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Requirement</w:t>
            </w:r>
          </w:p>
        </w:tc>
        <w:tc>
          <w:tcPr>
            <w:tcW w:type="dxa" w:w="10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596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E7898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Implementation Notes / Remediation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§164.314 — Organizational Requirements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§164.314(a)(1)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Business Associate Contracts (R): Contracts must meet requirements of §164.308(b).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Microsoft Azure BAA executed; standard covered entity BAA template prepared; subprocessor BAAs required.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§164.314(a)(2)(i)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Implementation Specifications (R): Contract must require BA to implement safeguards, report incidents, ensure subcontractors comply, authorize termination.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BAA template contains all required provisions: safeguard obligations, breach reporting (60-day), subcontractor requirements, termination for cause, return/destroy PHI.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§164.314(b)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Requirements for Group Health Plans (R).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N/A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VitaAI is not a group health plan. N/A.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§164.316 — Policies, Procedures and Documentation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§164.316(a)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Policies and Procedures (R): Implement reasonable and appropriate policies and procedures to comply with standards.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HIPAA security policies documented; annual review cycle; changes communicated to workforce.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§164.316(b)(1)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Documentation (R): Maintain written policies, procedures, and records for 6 years.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◑ Partial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Policies and incident records maintained. Gap: formal document management system with version history and 6-year retention tracking not yet implemented. Remediation: implement SharePoint/Confluence documentation library with retention labels by Q4 2026.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§164.316(b)(2)(ii)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Availability (R): Make documentation available to those responsible for implementing procedures.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Security documentation maintained in internal wiki; available to all relevant workforce.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§164.316(b)(2)(iii)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Updates (R): Review and update documentation in response to environmental or operational changes.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Annual review cycle; security Officer responsible for updates; changes logged.</w:t>
            </w:r>
          </w:p>
        </w:tc>
      </w:tr>
      <w:tr>
        <w:tc>
          <w:tcPr>
            <w:tcW w:type="dxa" w:w="9360"/>
            <w:gridSpan w:val="3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§164.400-414 — Breach Notification Rule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§164.402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Breach Definition (R): Identify breaches per HIPAA definition.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BreachController supports Suspected / Confirmed / Ruled Out classification aligned with HIPAA breach definition and risk assessment framework.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§164.404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Individual Notification (R): Notify affected individuals within 60 days of discovery.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IndividualsNotifiedAt field tracked per incident. Compliance dashboard flags overdue individual notifications (&gt;60 days from DiscoveredAt).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§164.406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Media Notification (R): Notify prominent media outlets for breaches affecting &gt;500 individuals in a state.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MediaNotifiedAt field tracked per incident; dashboard flags applicable breaches.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§164.408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HHS Notification (R): Notify HHS of breaches.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✓ Implemented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HhsNotifiedAt and HhsSubmissionId fields tracked per incident; dashboard flags overdue HHS notifications. Annual submission of sub-500 breaches supported.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§164.412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Law Enforcement Delay (A): Delay notification if law enforcement requests.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B0000"/>
                <w:sz w:val="18"/>
                <w:szCs w:val="18"/>
              </w:rPr>
              <w:t xml:space="preserve">✗ Gap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8B0000"/>
                <w:sz w:val="18"/>
                <w:szCs w:val="18"/>
              </w:rPr>
              <w:t xml:space="preserve">Gap: no formal documented procedure for handling law enforcement delay requests. Remediation: add law enforcement delay acknowledgment field to BreachIncident model; document procedure in incident response plan by Q3 2026.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§164.414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Burden of Proof (R): Business Associate bears burden of demonstrating breach did not occur.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◑ Partial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Hash-chained audit logs provide strong forensic evidence. Gap: formal breach risk assessment documentation template (4-factor HIPAA test) not standardized. Remediation: create breach risk assessment form template by Q3 2026.</w:t>
            </w:r>
          </w:p>
        </w:tc>
      </w:tr>
    </w:tbl>
    <w:p>
      <w:r>
        <w:br w:type="page"/>
      </w:r>
    </w:p>
    <w:p>
      <w:pPr>
        <w:pStyle w:val="Heading1"/>
        <w:spacing w:after="100" w:before="3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Part 5 — Remediation Plan Summary</w:t>
      </w:r>
    </w:p>
    <w:p>
      <w:pPr>
        <w:pBdr>
          <w:bottom w:val="single" w:color="1E7898" w:sz="6" w:space="1"/>
        </w:pBdr>
        <w:spacing w:after="120" w:before="8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items have been identified as requiring remediation. All items are classified as low-to-moderate risk given the compensating controls already in place.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600"/>
        <w:gridCol w:w="1400"/>
        <w:gridCol w:w="2960"/>
      </w:tblGrid>
      <w:tr>
        <w:trPr>
          <w:tblHeader/>
        </w:trPr>
        <w:tc>
          <w:tcPr>
            <w:tcW w:type="dxa" w:w="14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Section</w:t>
            </w:r>
          </w:p>
        </w:tc>
        <w:tc>
          <w:tcPr>
            <w:tcW w:type="dxa" w:w="36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Gap / Improvement</w:t>
            </w:r>
          </w:p>
        </w:tc>
        <w:tc>
          <w:tcPr>
            <w:tcW w:type="dxa" w:w="140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Priority</w:t>
            </w:r>
          </w:p>
        </w:tc>
        <w:tc>
          <w:tcPr>
            <w:tcW w:type="dxa" w:w="2960"/>
            <w:tcBorders>
              <w:top w:val="single" w:color="1E7898" w:sz="1"/>
              <w:left w:val="single" w:color="1E7898" w:sz="1"/>
              <w:bottom w:val="single" w:color="1E7898" w:sz="1"/>
              <w:right w:val="single" w:color="1E7898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Target Date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§164.308(a)(7)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Formalize DR test report template; archive annual DR test results with version control.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Medium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§164.308(a)(7)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Complete and publish Business Impact Analysis (BIA) document with application criticality rankings.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Medium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§164.310(d)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Implement formal hardware asset inventory using Intune device inventory as system of record.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Low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§164.316(b)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Implement document management library (SharePoint/Confluence) with 6-year retention labels for HIPAA policies.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Medium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Q4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§164.412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Add law enforcement delay field to BreachIncident model; document procedure in incident response plan.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Low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§164.414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Create standardized HIPAA breach risk assessment form (4-factor test template).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Medium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Technical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Migrate Service Bus auth from SharedAccessKey to Managed Identity.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800"/>
                <w:sz w:val="18"/>
                <w:szCs w:val="18"/>
              </w:rPr>
              <w:t xml:space="preserve">Medium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Technical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Migrate patient SAML JWT from localStorage to sessionStorage.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Low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Technical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Implement automated RevokedTokens pruning job (ExpiresAt-based cleanup).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3A"/>
                <w:sz w:val="18"/>
                <w:szCs w:val="18"/>
              </w:rPr>
              <w:t xml:space="preserve">Low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Q4 2026</w:t>
            </w:r>
          </w:p>
        </w:tc>
      </w:tr>
    </w:tbl>
    <w:p>
      <w:pPr>
        <w:spacing w:after="80" w:before="200"/>
      </w:pPr>
    </w:p>
    <w:p>
      <w:pPr>
        <w:pBdr>
          <w:top w:val="single" w:color="1F3864" w:sz="4" w:space="4"/>
        </w:pBdr>
        <w:spacing w:after="0" w:before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Assessment Sign-Off</w:t>
      </w:r>
    </w:p>
    <w:p>
      <w:pPr>
        <w:pBdr>
          <w:bottom w:val="single" w:color="1E7898" w:sz="6" w:space="1"/>
        </w:pBdr>
        <w:spacing w:after="12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Security Officer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Altnetix, LLC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Signature: _________________________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Date: _______________________________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Next Review Date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June 2027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Assessment ID: VTA-HIPAA-SA-2026-01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Document ID: VTA-SEC-004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7898" w:sz="4" w:space="4"/>
      </w:pBdr>
    </w:pPr>
    <w:r>
      <w:rPr>
        <w:rFonts w:ascii="Arial" w:cs="Arial" w:eastAsia="Arial" w:hAnsi="Arial"/>
        <w:color w:val="555555"/>
        <w:sz w:val="17"/>
        <w:szCs w:val="17"/>
      </w:rPr>
      <w:t xml:space="preserve">VitaAI  |  HIPAA Self-Assessment Checklist  |  Confidential  |  © 2026 Altnetix, LLC  |  Page </w:t>
    </w:r>
    <w:r>
      <w:rPr>
        <w:rFonts w:ascii="Arial" w:cs="Arial" w:eastAsia="Arial" w:hAnsi="Arial"/>
        <w:color w:val="555555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7898" w:sz="6" w:space="4"/>
      </w:pBdr>
    </w:pPr>
    <w:r>
      <w:rPr>
        <w:rFonts w:ascii="Arial" w:cs="Arial" w:eastAsia="Arial" w:hAnsi="Arial"/>
        <w:b/>
        <w:bCs/>
        <w:color w:val="1F3864"/>
        <w:sz w:val="18"/>
        <w:szCs w:val="18"/>
      </w:rPr>
      <w:t xml:space="preserve">VitaAI Platform</w:t>
    </w:r>
    <w:r>
      <w:rPr>
        <w:rFonts w:ascii="Arial" w:cs="Arial" w:eastAsia="Arial" w:hAnsi="Arial"/>
        <w:color w:val="555555"/>
        <w:sz w:val="18"/>
        <w:szCs w:val="18"/>
      </w:rPr>
      <w:t xml:space="preserve">  |  HIPAA Security Rule Self-Assessment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0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2026-06-02T00:19:07.694Z</dcterms:created>
  <dcterms:modified xsi:type="dcterms:W3CDTF">2026-06-02T00:19:07.694Z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