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FRAUD RISK ASSESSMENT</w:t>
      </w:r>
    </w:p>
    <w:p>
      <w:pPr>
        <w:shd w:fill="1E4D8C" w:val="clear"/>
        <w:spacing w:after="48" w:before="0"/>
        <w:jc w:val="center"/>
      </w:pPr>
      <w:r>
        <w:rPr>
          <w:rFonts w:ascii="Arial" w:cs="Arial" w:eastAsia="Arial" w:hAnsi="Arial"/>
          <w:color w:val="FFFFFF"/>
          <w:sz w:val="22"/>
          <w:szCs w:val="22"/>
        </w:rPr>
        <w:t xml:space="preserve">Annual Fraud Risk Identification and Controls Review</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BIZOPS-12</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Scope</w:t>
      </w:r>
    </w:p>
    <w:p>
      <w:pPr>
        <w:spacing w:after="100" w:before="80"/>
      </w:pPr>
      <w:r>
        <w:rPr>
          <w:rFonts w:ascii="Arial" w:cs="Arial" w:eastAsia="Arial" w:hAnsi="Arial"/>
          <w:color w:val="1E293B"/>
          <w:sz w:val="21"/>
          <w:szCs w:val="21"/>
        </w:rPr>
        <w:t xml:space="preserve">This Fraud Risk Assessment identifies, evaluates, and documents fraud risks relevant to Altnetix LLC's financial operations, healthcare billing processes, and technology platform. It supports SOC 2 CC3.2 and the Company's overall risk management program.</w:t>
      </w:r>
    </w:p>
    <w:p>
      <w:pPr>
        <w:pBdr>
          <w:bottom w:val="single" w:color="1A3A5C" w:sz="4"/>
        </w:pBdr>
        <w:spacing w:after="120" w:before="320"/>
      </w:pPr>
      <w:r>
        <w:rPr>
          <w:rFonts w:ascii="Arial" w:cs="Arial" w:eastAsia="Arial" w:hAnsi="Arial"/>
          <w:b/>
          <w:bCs/>
          <w:color w:val="1A3A5C"/>
          <w:sz w:val="28"/>
          <w:szCs w:val="28"/>
        </w:rPr>
        <w:t xml:space="preserve">2. Fraud Risk Categories</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gridCol w:w="100"/>
        <w:gridCol w:w="100"/>
      </w:tblGrid>
      <w:tr>
        <w:trPr>
          <w:tblHeader/>
        </w:trPr>
        <w:tc>
          <w:tcPr>
            <w:shd w:fill="1A3A5C" w:val="clear"/>
          </w:tcPr>
          <w:p>
            <w:r>
              <w:rPr>
                <w:rFonts w:ascii="Arial" w:cs="Arial" w:eastAsia="Arial" w:hAnsi="Arial"/>
                <w:b/>
                <w:bCs/>
                <w:color w:val="FFFFFF"/>
                <w:sz w:val="18"/>
                <w:szCs w:val="18"/>
              </w:rPr>
              <w:t xml:space="preserve">Category</w:t>
            </w:r>
          </w:p>
        </w:tc>
        <w:tc>
          <w:tcPr>
            <w:shd w:fill="1A3A5C" w:val="clear"/>
          </w:tcPr>
          <w:p>
            <w:r>
              <w:rPr>
                <w:rFonts w:ascii="Arial" w:cs="Arial" w:eastAsia="Arial" w:hAnsi="Arial"/>
                <w:b/>
                <w:bCs/>
                <w:color w:val="FFFFFF"/>
                <w:sz w:val="18"/>
                <w:szCs w:val="18"/>
              </w:rPr>
              <w:t xml:space="preserve">Risk Description</w:t>
            </w:r>
          </w:p>
        </w:tc>
        <w:tc>
          <w:tcPr>
            <w:shd w:fill="1A3A5C" w:val="clear"/>
          </w:tcPr>
          <w:p>
            <w:r>
              <w:rPr>
                <w:rFonts w:ascii="Arial" w:cs="Arial" w:eastAsia="Arial" w:hAnsi="Arial"/>
                <w:b/>
                <w:bCs/>
                <w:color w:val="FFFFFF"/>
                <w:sz w:val="18"/>
                <w:szCs w:val="18"/>
              </w:rPr>
              <w:t xml:space="preserve">Likelihood</w:t>
            </w:r>
          </w:p>
        </w:tc>
        <w:tc>
          <w:tcPr>
            <w:shd w:fill="1A3A5C" w:val="clear"/>
          </w:tcPr>
          <w:p>
            <w:r>
              <w:rPr>
                <w:rFonts w:ascii="Arial" w:cs="Arial" w:eastAsia="Arial" w:hAnsi="Arial"/>
                <w:b/>
                <w:bCs/>
                <w:color w:val="FFFFFF"/>
                <w:sz w:val="18"/>
                <w:szCs w:val="18"/>
              </w:rPr>
              <w:t xml:space="preserve">Impact</w:t>
            </w:r>
          </w:p>
        </w:tc>
        <w:tc>
          <w:tcPr>
            <w:shd w:fill="1A3A5C" w:val="clear"/>
          </w:tcPr>
          <w:p>
            <w:r>
              <w:rPr>
                <w:rFonts w:ascii="Arial" w:cs="Arial" w:eastAsia="Arial" w:hAnsi="Arial"/>
                <w:b/>
                <w:bCs/>
                <w:color w:val="FFFFFF"/>
                <w:sz w:val="18"/>
                <w:szCs w:val="18"/>
              </w:rPr>
              <w:t xml:space="preserve">Controls</w:t>
            </w:r>
          </w:p>
        </w:tc>
      </w:tr>
      <w:tr>
        <w:tc>
          <w:tcPr>
            <w:tcMar>
              <w:top w:type="dxa" w:w="80"/>
              <w:left w:type="dxa" w:w="80"/>
              <w:bottom w:type="dxa" w:w="80"/>
              <w:right w:type="dxa" w:w="80"/>
            </w:tcMar>
          </w:tcPr>
          <w:p>
            <w:r>
              <w:rPr>
                <w:rFonts w:ascii="Arial" w:cs="Arial" w:eastAsia="Arial" w:hAnsi="Arial"/>
                <w:color w:val="1E293B"/>
                <w:sz w:val="18"/>
                <w:szCs w:val="18"/>
              </w:rPr>
              <w:t xml:space="preserve">Financial</w:t>
            </w:r>
          </w:p>
        </w:tc>
        <w:tc>
          <w:tcPr>
            <w:tcMar>
              <w:top w:type="dxa" w:w="80"/>
              <w:left w:type="dxa" w:w="80"/>
              <w:bottom w:type="dxa" w:w="80"/>
              <w:right w:type="dxa" w:w="80"/>
            </w:tcMar>
          </w:tcPr>
          <w:p>
            <w:r>
              <w:rPr>
                <w:rFonts w:ascii="Arial" w:cs="Arial" w:eastAsia="Arial" w:hAnsi="Arial"/>
                <w:color w:val="1E293B"/>
                <w:sz w:val="18"/>
                <w:szCs w:val="18"/>
              </w:rPr>
              <w:t xml:space="preserve">Expense reimbursement fraud</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Moderate</w:t>
            </w:r>
          </w:p>
        </w:tc>
        <w:tc>
          <w:tcPr>
            <w:tcMar>
              <w:top w:type="dxa" w:w="80"/>
              <w:left w:type="dxa" w:w="80"/>
              <w:bottom w:type="dxa" w:w="80"/>
              <w:right w:type="dxa" w:w="80"/>
            </w:tcMar>
          </w:tcPr>
          <w:p>
            <w:r>
              <w:rPr>
                <w:rFonts w:ascii="Arial" w:cs="Arial" w:eastAsia="Arial" w:hAnsi="Arial"/>
                <w:color w:val="1E293B"/>
                <w:sz w:val="18"/>
                <w:szCs w:val="18"/>
              </w:rPr>
              <w:t xml:space="preserve">Two-person authorization for expenses &gt;$500</w:t>
            </w:r>
          </w:p>
        </w:tc>
      </w:tr>
      <w:tr>
        <w:tc>
          <w:tcPr>
            <w:tcMar>
              <w:top w:type="dxa" w:w="80"/>
              <w:left w:type="dxa" w:w="80"/>
              <w:bottom w:type="dxa" w:w="80"/>
              <w:right w:type="dxa" w:w="80"/>
            </w:tcMar>
          </w:tcPr>
          <w:p>
            <w:r>
              <w:rPr>
                <w:rFonts w:ascii="Arial" w:cs="Arial" w:eastAsia="Arial" w:hAnsi="Arial"/>
                <w:color w:val="1E293B"/>
                <w:sz w:val="18"/>
                <w:szCs w:val="18"/>
              </w:rPr>
              <w:t xml:space="preserve">Financial</w:t>
            </w:r>
          </w:p>
        </w:tc>
        <w:tc>
          <w:tcPr>
            <w:tcMar>
              <w:top w:type="dxa" w:w="80"/>
              <w:left w:type="dxa" w:w="80"/>
              <w:bottom w:type="dxa" w:w="80"/>
              <w:right w:type="dxa" w:w="80"/>
            </w:tcMar>
          </w:tcPr>
          <w:p>
            <w:r>
              <w:rPr>
                <w:rFonts w:ascii="Arial" w:cs="Arial" w:eastAsia="Arial" w:hAnsi="Arial"/>
                <w:color w:val="1E293B"/>
                <w:sz w:val="18"/>
                <w:szCs w:val="18"/>
              </w:rPr>
              <w:t xml:space="preserve">Vendor payment fraud (fake invoices)</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High</w:t>
            </w:r>
          </w:p>
        </w:tc>
        <w:tc>
          <w:tcPr>
            <w:tcMar>
              <w:top w:type="dxa" w:w="80"/>
              <w:left w:type="dxa" w:w="80"/>
              <w:bottom w:type="dxa" w:w="80"/>
              <w:right w:type="dxa" w:w="80"/>
            </w:tcMar>
          </w:tcPr>
          <w:p>
            <w:r>
              <w:rPr>
                <w:rFonts w:ascii="Arial" w:cs="Arial" w:eastAsia="Arial" w:hAnsi="Arial"/>
                <w:color w:val="1E293B"/>
                <w:sz w:val="18"/>
                <w:szCs w:val="18"/>
              </w:rPr>
              <w:t xml:space="preserve">Verified vendor list, CEO approval for new vendors</w:t>
            </w:r>
          </w:p>
        </w:tc>
      </w:tr>
      <w:tr>
        <w:tc>
          <w:tcPr>
            <w:tcMar>
              <w:top w:type="dxa" w:w="80"/>
              <w:left w:type="dxa" w:w="80"/>
              <w:bottom w:type="dxa" w:w="80"/>
              <w:right w:type="dxa" w:w="80"/>
            </w:tcMar>
          </w:tcPr>
          <w:p>
            <w:r>
              <w:rPr>
                <w:rFonts w:ascii="Arial" w:cs="Arial" w:eastAsia="Arial" w:hAnsi="Arial"/>
                <w:color w:val="1E293B"/>
                <w:sz w:val="18"/>
                <w:szCs w:val="18"/>
              </w:rPr>
              <w:t xml:space="preserve">Financial</w:t>
            </w:r>
          </w:p>
        </w:tc>
        <w:tc>
          <w:tcPr>
            <w:tcMar>
              <w:top w:type="dxa" w:w="80"/>
              <w:left w:type="dxa" w:w="80"/>
              <w:bottom w:type="dxa" w:w="80"/>
              <w:right w:type="dxa" w:w="80"/>
            </w:tcMar>
          </w:tcPr>
          <w:p>
            <w:r>
              <w:rPr>
                <w:rFonts w:ascii="Arial" w:cs="Arial" w:eastAsia="Arial" w:hAnsi="Arial"/>
                <w:color w:val="1E293B"/>
                <w:sz w:val="18"/>
                <w:szCs w:val="18"/>
              </w:rPr>
              <w:t xml:space="preserve">Payroll manipulation</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High</w:t>
            </w:r>
          </w:p>
        </w:tc>
        <w:tc>
          <w:tcPr>
            <w:tcMar>
              <w:top w:type="dxa" w:w="80"/>
              <w:left w:type="dxa" w:w="80"/>
              <w:bottom w:type="dxa" w:w="80"/>
              <w:right w:type="dxa" w:w="80"/>
            </w:tcMar>
          </w:tcPr>
          <w:p>
            <w:r>
              <w:rPr>
                <w:rFonts w:ascii="Arial" w:cs="Arial" w:eastAsia="Arial" w:hAnsi="Arial"/>
                <w:color w:val="1E293B"/>
                <w:sz w:val="18"/>
                <w:szCs w:val="18"/>
              </w:rPr>
              <w:t xml:space="preserve">Segregation of duties, payroll audit trail</w:t>
            </w:r>
          </w:p>
        </w:tc>
      </w:tr>
      <w:tr>
        <w:tc>
          <w:tcPr>
            <w:tcMar>
              <w:top w:type="dxa" w:w="80"/>
              <w:left w:type="dxa" w:w="80"/>
              <w:bottom w:type="dxa" w:w="80"/>
              <w:right w:type="dxa" w:w="80"/>
            </w:tcMar>
          </w:tcPr>
          <w:p>
            <w:r>
              <w:rPr>
                <w:rFonts w:ascii="Arial" w:cs="Arial" w:eastAsia="Arial" w:hAnsi="Arial"/>
                <w:color w:val="1E293B"/>
                <w:sz w:val="18"/>
                <w:szCs w:val="18"/>
              </w:rPr>
              <w:t xml:space="preserve">Healthcare Billing</w:t>
            </w:r>
          </w:p>
        </w:tc>
        <w:tc>
          <w:tcPr>
            <w:tcMar>
              <w:top w:type="dxa" w:w="80"/>
              <w:left w:type="dxa" w:w="80"/>
              <w:bottom w:type="dxa" w:w="80"/>
              <w:right w:type="dxa" w:w="80"/>
            </w:tcMar>
          </w:tcPr>
          <w:p>
            <w:r>
              <w:rPr>
                <w:rFonts w:ascii="Arial" w:cs="Arial" w:eastAsia="Arial" w:hAnsi="Arial"/>
                <w:color w:val="1E293B"/>
                <w:sz w:val="18"/>
                <w:szCs w:val="18"/>
              </w:rPr>
              <w:t xml:space="preserve">Upcoding / unbundling claims</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High</w:t>
            </w:r>
          </w:p>
        </w:tc>
        <w:tc>
          <w:tcPr>
            <w:tcMar>
              <w:top w:type="dxa" w:w="80"/>
              <w:left w:type="dxa" w:w="80"/>
              <w:bottom w:type="dxa" w:w="80"/>
              <w:right w:type="dxa" w:w="80"/>
            </w:tcMar>
          </w:tcPr>
          <w:p>
            <w:r>
              <w:rPr>
                <w:rFonts w:ascii="Arial" w:cs="Arial" w:eastAsia="Arial" w:hAnsi="Arial"/>
                <w:color w:val="1E293B"/>
                <w:sz w:val="18"/>
                <w:szCs w:val="18"/>
              </w:rPr>
              <w:t xml:space="preserve">Billing audit logs, compliance review</w:t>
            </w:r>
          </w:p>
        </w:tc>
      </w:tr>
      <w:tr>
        <w:tc>
          <w:tcPr>
            <w:tcMar>
              <w:top w:type="dxa" w:w="80"/>
              <w:left w:type="dxa" w:w="80"/>
              <w:bottom w:type="dxa" w:w="80"/>
              <w:right w:type="dxa" w:w="80"/>
            </w:tcMar>
          </w:tcPr>
          <w:p>
            <w:r>
              <w:rPr>
                <w:rFonts w:ascii="Arial" w:cs="Arial" w:eastAsia="Arial" w:hAnsi="Arial"/>
                <w:color w:val="1E293B"/>
                <w:sz w:val="18"/>
                <w:szCs w:val="18"/>
              </w:rPr>
              <w:t xml:space="preserve">Technology</w:t>
            </w:r>
          </w:p>
        </w:tc>
        <w:tc>
          <w:tcPr>
            <w:tcMar>
              <w:top w:type="dxa" w:w="80"/>
              <w:left w:type="dxa" w:w="80"/>
              <w:bottom w:type="dxa" w:w="80"/>
              <w:right w:type="dxa" w:w="80"/>
            </w:tcMar>
          </w:tcPr>
          <w:p>
            <w:r>
              <w:rPr>
                <w:rFonts w:ascii="Arial" w:cs="Arial" w:eastAsia="Arial" w:hAnsi="Arial"/>
                <w:color w:val="1E293B"/>
                <w:sz w:val="18"/>
                <w:szCs w:val="18"/>
              </w:rPr>
              <w:t xml:space="preserve">Unauthorized access to billing systems</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High</w:t>
            </w:r>
          </w:p>
        </w:tc>
        <w:tc>
          <w:tcPr>
            <w:tcMar>
              <w:top w:type="dxa" w:w="80"/>
              <w:left w:type="dxa" w:w="80"/>
              <w:bottom w:type="dxa" w:w="80"/>
              <w:right w:type="dxa" w:w="80"/>
            </w:tcMar>
          </w:tcPr>
          <w:p>
            <w:r>
              <w:rPr>
                <w:rFonts w:ascii="Arial" w:cs="Arial" w:eastAsia="Arial" w:hAnsi="Arial"/>
                <w:color w:val="1E293B"/>
                <w:sz w:val="18"/>
                <w:szCs w:val="18"/>
              </w:rPr>
              <w:t xml:space="preserve">MFA, RBAC, API authentication</w:t>
            </w:r>
          </w:p>
        </w:tc>
      </w:tr>
      <w:tr>
        <w:tc>
          <w:tcPr>
            <w:tcMar>
              <w:top w:type="dxa" w:w="80"/>
              <w:left w:type="dxa" w:w="80"/>
              <w:bottom w:type="dxa" w:w="80"/>
              <w:right w:type="dxa" w:w="80"/>
            </w:tcMar>
          </w:tcPr>
          <w:p>
            <w:r>
              <w:rPr>
                <w:rFonts w:ascii="Arial" w:cs="Arial" w:eastAsia="Arial" w:hAnsi="Arial"/>
                <w:color w:val="1E293B"/>
                <w:sz w:val="18"/>
                <w:szCs w:val="18"/>
              </w:rPr>
              <w:t xml:space="preserve">Technology</w:t>
            </w:r>
          </w:p>
        </w:tc>
        <w:tc>
          <w:tcPr>
            <w:tcMar>
              <w:top w:type="dxa" w:w="80"/>
              <w:left w:type="dxa" w:w="80"/>
              <w:bottom w:type="dxa" w:w="80"/>
              <w:right w:type="dxa" w:w="80"/>
            </w:tcMar>
          </w:tcPr>
          <w:p>
            <w:r>
              <w:rPr>
                <w:rFonts w:ascii="Arial" w:cs="Arial" w:eastAsia="Arial" w:hAnsi="Arial"/>
                <w:color w:val="1E293B"/>
                <w:sz w:val="18"/>
                <w:szCs w:val="18"/>
              </w:rPr>
              <w:t xml:space="preserve">Data exfiltration for resale</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Critical</w:t>
            </w:r>
          </w:p>
        </w:tc>
        <w:tc>
          <w:tcPr>
            <w:tcMar>
              <w:top w:type="dxa" w:w="80"/>
              <w:left w:type="dxa" w:w="80"/>
              <w:bottom w:type="dxa" w:w="80"/>
              <w:right w:type="dxa" w:w="80"/>
            </w:tcMar>
          </w:tcPr>
          <w:p>
            <w:r>
              <w:rPr>
                <w:rFonts w:ascii="Arial" w:cs="Arial" w:eastAsia="Arial" w:hAnsi="Arial"/>
                <w:color w:val="1E293B"/>
                <w:sz w:val="18"/>
                <w:szCs w:val="18"/>
              </w:rPr>
              <w:t xml:space="preserve">DLP controls, audit logging, background checks</w:t>
            </w:r>
          </w:p>
        </w:tc>
      </w:tr>
      <w:tr>
        <w:tc>
          <w:tcPr>
            <w:tcMar>
              <w:top w:type="dxa" w:w="80"/>
              <w:left w:type="dxa" w:w="80"/>
              <w:bottom w:type="dxa" w:w="80"/>
              <w:right w:type="dxa" w:w="80"/>
            </w:tcMar>
          </w:tcPr>
          <w:p>
            <w:r>
              <w:rPr>
                <w:rFonts w:ascii="Arial" w:cs="Arial" w:eastAsia="Arial" w:hAnsi="Arial"/>
                <w:color w:val="1E293B"/>
                <w:sz w:val="18"/>
                <w:szCs w:val="18"/>
              </w:rPr>
              <w:t xml:space="preserve">Procurement</w:t>
            </w:r>
          </w:p>
        </w:tc>
        <w:tc>
          <w:tcPr>
            <w:tcMar>
              <w:top w:type="dxa" w:w="80"/>
              <w:left w:type="dxa" w:w="80"/>
              <w:bottom w:type="dxa" w:w="80"/>
              <w:right w:type="dxa" w:w="80"/>
            </w:tcMar>
          </w:tcPr>
          <w:p>
            <w:r>
              <w:rPr>
                <w:rFonts w:ascii="Arial" w:cs="Arial" w:eastAsia="Arial" w:hAnsi="Arial"/>
                <w:color w:val="1E293B"/>
                <w:sz w:val="18"/>
                <w:szCs w:val="18"/>
              </w:rPr>
              <w:t xml:space="preserve">Conflict of interest in vendor selection</w:t>
            </w:r>
          </w:p>
        </w:tc>
        <w:tc>
          <w:tcPr>
            <w:tcMar>
              <w:top w:type="dxa" w:w="80"/>
              <w:left w:type="dxa" w:w="80"/>
              <w:bottom w:type="dxa" w:w="80"/>
              <w:right w:type="dxa" w:w="80"/>
            </w:tcMar>
          </w:tcPr>
          <w:p>
            <w:r>
              <w:rPr>
                <w:rFonts w:ascii="Arial" w:cs="Arial" w:eastAsia="Arial" w:hAnsi="Arial"/>
                <w:color w:val="1E293B"/>
                <w:sz w:val="18"/>
                <w:szCs w:val="18"/>
              </w:rPr>
              <w:t xml:space="preserve">Low</w:t>
            </w:r>
          </w:p>
        </w:tc>
        <w:tc>
          <w:tcPr>
            <w:tcMar>
              <w:top w:type="dxa" w:w="80"/>
              <w:left w:type="dxa" w:w="80"/>
              <w:bottom w:type="dxa" w:w="80"/>
              <w:right w:type="dxa" w:w="80"/>
            </w:tcMar>
          </w:tcPr>
          <w:p>
            <w:r>
              <w:rPr>
                <w:rFonts w:ascii="Arial" w:cs="Arial" w:eastAsia="Arial" w:hAnsi="Arial"/>
                <w:color w:val="1E293B"/>
                <w:sz w:val="18"/>
                <w:szCs w:val="18"/>
              </w:rPr>
              <w:t xml:space="preserve">Moderate</w:t>
            </w:r>
          </w:p>
        </w:tc>
        <w:tc>
          <w:tcPr>
            <w:tcMar>
              <w:top w:type="dxa" w:w="80"/>
              <w:left w:type="dxa" w:w="80"/>
              <w:bottom w:type="dxa" w:w="80"/>
              <w:right w:type="dxa" w:w="80"/>
            </w:tcMar>
          </w:tcPr>
          <w:p>
            <w:r>
              <w:rPr>
                <w:rFonts w:ascii="Arial" w:cs="Arial" w:eastAsia="Arial" w:hAnsi="Arial"/>
                <w:color w:val="1E293B"/>
                <w:sz w:val="18"/>
                <w:szCs w:val="18"/>
              </w:rPr>
              <w:t xml:space="preserve">Conflict-of-interest policy, CEO approval</w:t>
            </w:r>
          </w:p>
        </w:tc>
      </w:tr>
    </w:tbl>
    <w:p>
      <w:pPr>
        <w:pBdr>
          <w:bottom w:val="single" w:color="1A3A5C" w:sz="4"/>
        </w:pBdr>
        <w:spacing w:after="120" w:before="320"/>
      </w:pPr>
      <w:r>
        <w:rPr>
          <w:rFonts w:ascii="Arial" w:cs="Arial" w:eastAsia="Arial" w:hAnsi="Arial"/>
          <w:b/>
          <w:bCs/>
          <w:color w:val="1A3A5C"/>
          <w:sz w:val="28"/>
          <w:szCs w:val="28"/>
        </w:rPr>
        <w:t xml:space="preserve">3. Key Anti-Fraud Controls</w:t>
      </w:r>
    </w:p>
    <w:p>
      <w:pPr>
        <w:pStyle w:val="ListParagraph"/>
        <w:numPr>
          <w:ilvl w:val="0"/>
          <w:numId w:val="1"/>
        </w:numPr>
        <w:spacing w:after="60" w:before="60"/>
      </w:pPr>
      <w:r>
        <w:rPr>
          <w:rFonts w:ascii="Arial" w:cs="Arial" w:eastAsia="Arial" w:hAnsi="Arial"/>
          <w:color w:val="1E293B"/>
          <w:sz w:val="21"/>
          <w:szCs w:val="21"/>
        </w:rPr>
        <w:t xml:space="preserve">Segregation of duties for financial approvals and disbursements</w:t>
      </w:r>
    </w:p>
    <w:p>
      <w:pPr>
        <w:pStyle w:val="ListParagraph"/>
        <w:numPr>
          <w:ilvl w:val="0"/>
          <w:numId w:val="1"/>
        </w:numPr>
        <w:spacing w:after="60" w:before="60"/>
      </w:pPr>
      <w:r>
        <w:rPr>
          <w:rFonts w:ascii="Arial" w:cs="Arial" w:eastAsia="Arial" w:hAnsi="Arial"/>
          <w:color w:val="1E293B"/>
          <w:sz w:val="21"/>
          <w:szCs w:val="21"/>
        </w:rPr>
        <w:t xml:space="preserve">All financial transactions over $500 require two-person authorization</w:t>
      </w:r>
    </w:p>
    <w:p>
      <w:pPr>
        <w:pStyle w:val="ListParagraph"/>
        <w:numPr>
          <w:ilvl w:val="0"/>
          <w:numId w:val="1"/>
        </w:numPr>
        <w:spacing w:after="60" w:before="60"/>
      </w:pPr>
      <w:r>
        <w:rPr>
          <w:rFonts w:ascii="Arial" w:cs="Arial" w:eastAsia="Arial" w:hAnsi="Arial"/>
          <w:color w:val="1E293B"/>
          <w:sz w:val="21"/>
          <w:szCs w:val="21"/>
        </w:rPr>
        <w:t xml:space="preserve">Comprehensive audit logging of all system access and data changes</w:t>
      </w:r>
    </w:p>
    <w:p>
      <w:pPr>
        <w:pStyle w:val="ListParagraph"/>
        <w:numPr>
          <w:ilvl w:val="0"/>
          <w:numId w:val="1"/>
        </w:numPr>
        <w:spacing w:after="60" w:before="60"/>
      </w:pPr>
      <w:r>
        <w:rPr>
          <w:rFonts w:ascii="Arial" w:cs="Arial" w:eastAsia="Arial" w:hAnsi="Arial"/>
          <w:color w:val="1E293B"/>
          <w:sz w:val="21"/>
          <w:szCs w:val="21"/>
        </w:rPr>
        <w:t xml:space="preserve">Background checks for all new hires with access to PHI or financial systems</w:t>
      </w:r>
    </w:p>
    <w:p>
      <w:pPr>
        <w:pStyle w:val="ListParagraph"/>
        <w:numPr>
          <w:ilvl w:val="0"/>
          <w:numId w:val="1"/>
        </w:numPr>
        <w:spacing w:after="60" w:before="60"/>
      </w:pPr>
      <w:r>
        <w:rPr>
          <w:rFonts w:ascii="Arial" w:cs="Arial" w:eastAsia="Arial" w:hAnsi="Arial"/>
          <w:color w:val="1E293B"/>
          <w:sz w:val="21"/>
          <w:szCs w:val="21"/>
        </w:rPr>
        <w:t xml:space="preserve">Whistleblower policy with anonymous reporting channel</w:t>
      </w:r>
    </w:p>
    <w:p>
      <w:pPr>
        <w:pStyle w:val="ListParagraph"/>
        <w:numPr>
          <w:ilvl w:val="0"/>
          <w:numId w:val="1"/>
        </w:numPr>
        <w:spacing w:after="60" w:before="60"/>
      </w:pPr>
      <w:r>
        <w:rPr>
          <w:rFonts w:ascii="Arial" w:cs="Arial" w:eastAsia="Arial" w:hAnsi="Arial"/>
          <w:color w:val="1E293B"/>
          <w:sz w:val="21"/>
          <w:szCs w:val="21"/>
        </w:rPr>
        <w:t xml:space="preserve">Annual financial statement review by external accountant</w:t>
      </w:r>
    </w:p>
    <w:p>
      <w:pPr>
        <w:pStyle w:val="ListParagraph"/>
        <w:numPr>
          <w:ilvl w:val="0"/>
          <w:numId w:val="1"/>
        </w:numPr>
        <w:spacing w:after="60" w:before="60"/>
      </w:pPr>
      <w:r>
        <w:rPr>
          <w:rFonts w:ascii="Arial" w:cs="Arial" w:eastAsia="Arial" w:hAnsi="Arial"/>
          <w:color w:val="1E293B"/>
          <w:sz w:val="21"/>
          <w:szCs w:val="21"/>
        </w:rPr>
        <w:t xml:space="preserve">Vendor onboarding process with identity verification and contract execution</w:t>
      </w:r>
    </w:p>
    <w:p>
      <w:pPr>
        <w:pBdr>
          <w:bottom w:val="single" w:color="1A3A5C" w:sz="4"/>
        </w:pBdr>
        <w:spacing w:after="120" w:before="320"/>
      </w:pPr>
      <w:r>
        <w:rPr>
          <w:rFonts w:ascii="Arial" w:cs="Arial" w:eastAsia="Arial" w:hAnsi="Arial"/>
          <w:b/>
          <w:bCs/>
          <w:color w:val="1A3A5C"/>
          <w:sz w:val="28"/>
          <w:szCs w:val="28"/>
        </w:rPr>
        <w:t xml:space="preserve">4. Detection and Response</w:t>
      </w:r>
    </w:p>
    <w:p>
      <w:pPr>
        <w:spacing w:after="100" w:before="80"/>
      </w:pPr>
      <w:r>
        <w:rPr>
          <w:rFonts w:ascii="Arial" w:cs="Arial" w:eastAsia="Arial" w:hAnsi="Arial"/>
          <w:color w:val="1E293B"/>
          <w:sz w:val="21"/>
          <w:szCs w:val="21"/>
        </w:rPr>
        <w:t xml:space="preserve">Suspected fraud should be reported immediately to the CEO and Security Officer at compliance@altnetix.com. All reports are investigated confidentially. Substantiated fraud will result in termination, recovery of losses, and referral to law enforcement. For healthcare billing fraud, HHS OIG may be notified per applicable law.</w:t>
      </w:r>
    </w:p>
    <w:p>
      <w:pPr>
        <w:pBdr>
          <w:bottom w:val="single" w:color="1A3A5C" w:sz="4"/>
        </w:pBdr>
        <w:spacing w:after="120" w:before="320"/>
      </w:pPr>
      <w:r>
        <w:rPr>
          <w:rFonts w:ascii="Arial" w:cs="Arial" w:eastAsia="Arial" w:hAnsi="Arial"/>
          <w:b/>
          <w:bCs/>
          <w:color w:val="1A3A5C"/>
          <w:sz w:val="28"/>
          <w:szCs w:val="28"/>
        </w:rPr>
        <w:t xml:space="preserve">5. Review Frequency</w:t>
      </w:r>
    </w:p>
    <w:p>
      <w:pPr>
        <w:spacing w:after="100" w:before="80"/>
      </w:pPr>
      <w:r>
        <w:rPr>
          <w:rFonts w:ascii="Arial" w:cs="Arial" w:eastAsia="Arial" w:hAnsi="Arial"/>
          <w:color w:val="1E293B"/>
          <w:sz w:val="21"/>
          <w:szCs w:val="21"/>
        </w:rPr>
        <w:t xml:space="preserve">This assessment is reviewed quarterly by the Security Officer and updated following material changes to operations, financial systems, or workforce. Results are reported to Company leadership.</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Fraud Risk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Risk Assessment</dc:title>
  <dc:creator>Altnetix LLC</dc:creator>
  <dc:description>Identifies fraud risks across financial, healthcare billing, and technology domains with controls evaluation.</dc:description>
  <cp:lastModifiedBy>Un-named</cp:lastModifiedBy>
  <cp:revision>1</cp:revision>
  <dcterms:created xsi:type="dcterms:W3CDTF">2026-06-09T16:58:18.719Z</dcterms:created>
  <dcterms:modified xsi:type="dcterms:W3CDTF">2026-06-09T16:58:18.719Z</dcterms:modified>
</cp:coreProperties>
</file>

<file path=docProps/custom.xml><?xml version="1.0" encoding="utf-8"?>
<Properties xmlns="http://schemas.openxmlformats.org/officeDocument/2006/custom-properties" xmlns:vt="http://schemas.openxmlformats.org/officeDocument/2006/docPropsVTypes"/>
</file>