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1A3A5C" w:val="clear"/>
        <w:spacing w:after="0" w:before="0"/>
      </w:pPr>
      <w:r>
        <w:rPr>
          <w:rFonts w:ascii="Arial" w:cs="Arial" w:eastAsia="Arial" w:hAnsi="Arial"/>
          <w:sz w:val="52"/>
          <w:szCs w:val="52"/>
        </w:rPr>
        <w:t xml:space="preserve"> </w:t>
      </w:r>
    </w:p>
    <w:p>
      <w:pPr>
        <w:spacing w:after="0" w:before="0"/>
      </w:pPr>
      <w:r>
        <w:t xml:space="preserve"/>
      </w:r>
    </w:p>
    <w:p>
      <w:pPr>
        <w:spacing w:after="0" w:before="0"/>
      </w:pPr>
      <w:r>
        <w:t xml:space="preserve"/>
      </w:r>
    </w:p>
    <w:p>
      <w:pPr>
        <w:spacing w:after="80" w:before="480"/>
        <w:jc w:val="center"/>
      </w:pPr>
      <w:r>
        <w:rPr>
          <w:rFonts w:ascii="Arial" w:cs="Arial" w:eastAsia="Arial" w:hAnsi="Arial"/>
          <w:b/>
          <w:bCs/>
          <w:color w:val="1A3A5C"/>
          <w:spacing w:val="80"/>
          <w:sz w:val="30"/>
          <w:szCs w:val="30"/>
        </w:rPr>
        <w:t xml:space="preserve">ALTNETIX LLC</w:t>
      </w:r>
    </w:p>
    <w:p>
      <w:pPr>
        <w:spacing w:after="480" w:before="0"/>
        <w:jc w:val="center"/>
      </w:pPr>
      <w:r>
        <w:rPr>
          <w:rFonts w:ascii="Arial" w:cs="Arial" w:eastAsia="Arial" w:hAnsi="Arial"/>
          <w:i/>
          <w:iCs/>
          <w:color w:val="1E4D8C"/>
          <w:sz w:val="24"/>
          <w:szCs w:val="24"/>
        </w:rPr>
        <w:t xml:space="preserve">VitaAI Platform</w:t>
      </w:r>
    </w:p>
    <w:p>
      <w:pPr>
        <w:shd w:fill="1A3A5C" w:val="clear"/>
        <w:spacing w:after="0" w:before="40"/>
        <w:jc w:val="center"/>
      </w:pPr>
      <w:r>
        <w:rPr>
          <w:rFonts w:ascii="Arial" w:cs="Arial" w:eastAsia="Arial" w:hAnsi="Arial"/>
          <w:b/>
          <w:bCs/>
          <w:color w:val="FFFFFF"/>
          <w:sz w:val="36"/>
          <w:szCs w:val="36"/>
        </w:rPr>
        <w:t xml:space="preserve">DATA RETENTION POLICY</w:t>
      </w:r>
    </w:p>
    <w:p>
      <w:pPr>
        <w:shd w:fill="1E4D8C" w:val="clear"/>
        <w:spacing w:after="48" w:before="0"/>
        <w:jc w:val="center"/>
      </w:pPr>
      <w:r>
        <w:rPr>
          <w:rFonts w:ascii="Arial" w:cs="Arial" w:eastAsia="Arial" w:hAnsi="Arial"/>
          <w:color w:val="FFFFFF"/>
          <w:sz w:val="22"/>
          <w:szCs w:val="22"/>
        </w:rPr>
        <w:t xml:space="preserve">HIPAA-Aligned Records Retention Schedule</w:t>
      </w:r>
    </w:p>
    <w:p>
      <w:pPr>
        <w:spacing w:after="0" w:before="0"/>
      </w:pPr>
      <w:r>
        <w:t xml:space="preserve"/>
      </w:r>
    </w:p>
    <w:p>
      <w:pPr>
        <w:spacing w:after="0" w:before="0"/>
      </w:pPr>
      <w:r>
        <w:t xml:space="preserve"/>
      </w:r>
    </w:p>
    <w:tbl>
      <w:tblPr>
        <w:tblW w:type="pct" w:w="100%"/>
        <w:tblBorders>
          <w:top w:val="single" w:color="E2E8F0" w:sz="1"/>
          <w:left w:val="single" w:color="E2E8F0" w:sz="1"/>
          <w:bottom w:val="single" w:color="E2E8F0" w:sz="1"/>
          <w:right w:val="single" w:color="E2E8F0" w:sz="1"/>
          <w:insideH w:val="single" w:color="auto" w:sz="4"/>
          <w:insideV w:val="single" w:color="auto" w:sz="4"/>
        </w:tblBorders>
      </w:tblPr>
      <w:tblGrid>
        <w:gridCol w:w="100"/>
        <w:gridCol w:w="100"/>
      </w:tblGrid>
      <w:tr>
        <w:tc>
          <w:tcPr>
            <w:tcW w:type="pct" w:w="30%"/>
            <w:tcBorders>
              <w:top w:val="none" w:sz="0"/>
              <w:left w:val="none" w:sz="0"/>
              <w:bottom w:val="none" w:sz="0"/>
              <w:right w:val="none" w:sz="0"/>
            </w:tcBorders>
            <w:shd w:fill="F8FAFC" w:val="clear"/>
          </w:tcPr>
          <w:p>
            <w:pPr>
              <w:spacing w:after="100" w:before="80"/>
            </w:pPr>
            <w:r>
              <w:rPr>
                <w:rFonts w:ascii="Arial" w:cs="Arial" w:eastAsia="Arial" w:hAnsi="Arial"/>
                <w:b/>
                <w:bCs/>
                <w:color w:val="1A3A5C"/>
                <w:sz w:val="20"/>
                <w:szCs w:val="20"/>
              </w:rPr>
              <w:t xml:space="preserve">Control Reference</w:t>
            </w:r>
          </w:p>
        </w:tc>
        <w:tc>
          <w:tcPr>
            <w:tcW w:type="pct" w:w="70%"/>
            <w:tcBorders>
              <w:top w:val="none" w:sz="0"/>
              <w:left w:val="none" w:sz="0"/>
              <w:bottom w:val="none" w:sz="0"/>
              <w:right w:val="none" w:sz="0"/>
            </w:tcBorders>
          </w:tcPr>
          <w:p>
            <w:pPr>
              <w:spacing w:after="100" w:before="80"/>
            </w:pPr>
            <w:r>
              <w:rPr>
                <w:rFonts w:ascii="Arial" w:cs="Arial" w:eastAsia="Arial" w:hAnsi="Arial"/>
                <w:color w:val="1E293B"/>
                <w:sz w:val="20"/>
                <w:szCs w:val="20"/>
              </w:rPr>
              <w:t xml:space="preserve">DATA-16</w:t>
            </w:r>
          </w:p>
        </w:tc>
      </w:tr>
      <w:tr>
        <w:tc>
          <w:tcPr>
            <w:tcW w:type="pct" w:w="30%"/>
            <w:tcBorders>
              <w:top w:val="none" w:sz="0"/>
              <w:left w:val="none" w:sz="0"/>
              <w:bottom w:val="none" w:sz="0"/>
              <w:right w:val="none" w:sz="0"/>
            </w:tcBorders>
            <w:shd w:fill="F8FAFC" w:val="clear"/>
          </w:tcPr>
          <w:p>
            <w:pPr>
              <w:spacing w:after="100" w:before="80"/>
            </w:pPr>
            <w:r>
              <w:rPr>
                <w:rFonts w:ascii="Arial" w:cs="Arial" w:eastAsia="Arial" w:hAnsi="Arial"/>
                <w:b/>
                <w:bCs/>
                <w:color w:val="1A3A5C"/>
                <w:sz w:val="20"/>
                <w:szCs w:val="20"/>
              </w:rPr>
              <w:t xml:space="preserve">Document Version</w:t>
            </w:r>
          </w:p>
        </w:tc>
        <w:tc>
          <w:tcPr>
            <w:tcW w:type="pct" w:w="70%"/>
            <w:tcBorders>
              <w:top w:val="none" w:sz="0"/>
              <w:left w:val="none" w:sz="0"/>
              <w:bottom w:val="none" w:sz="0"/>
              <w:right w:val="none" w:sz="0"/>
            </w:tcBorders>
          </w:tcPr>
          <w:p>
            <w:pPr>
              <w:spacing w:after="100" w:before="80"/>
            </w:pPr>
            <w:r>
              <w:rPr>
                <w:rFonts w:ascii="Arial" w:cs="Arial" w:eastAsia="Arial" w:hAnsi="Arial"/>
                <w:color w:val="1E293B"/>
                <w:sz w:val="20"/>
                <w:szCs w:val="20"/>
              </w:rPr>
              <w:t xml:space="preserve">1.0</w:t>
            </w:r>
          </w:p>
        </w:tc>
      </w:tr>
      <w:tr>
        <w:tc>
          <w:tcPr>
            <w:tcW w:type="pct" w:w="30%"/>
            <w:tcBorders>
              <w:top w:val="none" w:sz="0"/>
              <w:left w:val="none" w:sz="0"/>
              <w:bottom w:val="none" w:sz="0"/>
              <w:right w:val="none" w:sz="0"/>
            </w:tcBorders>
            <w:shd w:fill="F8FAFC" w:val="clear"/>
          </w:tcPr>
          <w:p>
            <w:pPr>
              <w:spacing w:after="100" w:before="80"/>
            </w:pPr>
            <w:r>
              <w:rPr>
                <w:rFonts w:ascii="Arial" w:cs="Arial" w:eastAsia="Arial" w:hAnsi="Arial"/>
                <w:b/>
                <w:bCs/>
                <w:color w:val="1A3A5C"/>
                <w:sz w:val="20"/>
                <w:szCs w:val="20"/>
              </w:rPr>
              <w:t xml:space="preserve">Effective Date</w:t>
            </w:r>
          </w:p>
        </w:tc>
        <w:tc>
          <w:tcPr>
            <w:tcW w:type="pct" w:w="70%"/>
            <w:tcBorders>
              <w:top w:val="none" w:sz="0"/>
              <w:left w:val="none" w:sz="0"/>
              <w:bottom w:val="none" w:sz="0"/>
              <w:right w:val="none" w:sz="0"/>
            </w:tcBorders>
          </w:tcPr>
          <w:p>
            <w:pPr>
              <w:spacing w:after="100" w:before="80"/>
            </w:pPr>
            <w:r>
              <w:rPr>
                <w:rFonts w:ascii="Arial" w:cs="Arial" w:eastAsia="Arial" w:hAnsi="Arial"/>
                <w:color w:val="1E293B"/>
                <w:sz w:val="20"/>
                <w:szCs w:val="20"/>
              </w:rPr>
              <w:t xml:space="preserve">June 1, 2026</w:t>
            </w:r>
          </w:p>
        </w:tc>
      </w:tr>
      <w:tr>
        <w:tc>
          <w:tcPr>
            <w:tcW w:type="pct" w:w="30%"/>
            <w:tcBorders>
              <w:top w:val="none" w:sz="0"/>
              <w:left w:val="none" w:sz="0"/>
              <w:bottom w:val="none" w:sz="0"/>
              <w:right w:val="none" w:sz="0"/>
            </w:tcBorders>
            <w:shd w:fill="F8FAFC" w:val="clear"/>
          </w:tcPr>
          <w:p>
            <w:pPr>
              <w:spacing w:after="100" w:before="80"/>
            </w:pPr>
            <w:r>
              <w:rPr>
                <w:rFonts w:ascii="Arial" w:cs="Arial" w:eastAsia="Arial" w:hAnsi="Arial"/>
                <w:b/>
                <w:bCs/>
                <w:color w:val="1A3A5C"/>
                <w:sz w:val="20"/>
                <w:szCs w:val="20"/>
              </w:rPr>
              <w:t xml:space="preserve">Next Review</w:t>
            </w:r>
          </w:p>
        </w:tc>
        <w:tc>
          <w:tcPr>
            <w:tcW w:type="pct" w:w="70%"/>
            <w:tcBorders>
              <w:top w:val="none" w:sz="0"/>
              <w:left w:val="none" w:sz="0"/>
              <w:bottom w:val="none" w:sz="0"/>
              <w:right w:val="none" w:sz="0"/>
            </w:tcBorders>
          </w:tcPr>
          <w:p>
            <w:pPr>
              <w:spacing w:after="100" w:before="80"/>
            </w:pPr>
            <w:r>
              <w:rPr>
                <w:rFonts w:ascii="Arial" w:cs="Arial" w:eastAsia="Arial" w:hAnsi="Arial"/>
                <w:color w:val="1E293B"/>
                <w:sz w:val="20"/>
                <w:szCs w:val="20"/>
              </w:rPr>
              <w:t xml:space="preserve">June 1, 2027</w:t>
            </w:r>
          </w:p>
        </w:tc>
      </w:tr>
      <w:tr>
        <w:tc>
          <w:tcPr>
            <w:tcW w:type="pct" w:w="30%"/>
            <w:tcBorders>
              <w:top w:val="none" w:sz="0"/>
              <w:left w:val="none" w:sz="0"/>
              <w:bottom w:val="none" w:sz="0"/>
              <w:right w:val="none" w:sz="0"/>
            </w:tcBorders>
            <w:shd w:fill="F8FAFC" w:val="clear"/>
          </w:tcPr>
          <w:p>
            <w:pPr>
              <w:spacing w:after="100" w:before="80"/>
            </w:pPr>
            <w:r>
              <w:rPr>
                <w:rFonts w:ascii="Arial" w:cs="Arial" w:eastAsia="Arial" w:hAnsi="Arial"/>
                <w:b/>
                <w:bCs/>
                <w:color w:val="1A3A5C"/>
                <w:sz w:val="20"/>
                <w:szCs w:val="20"/>
              </w:rPr>
              <w:t xml:space="preserve">Classification</w:t>
            </w:r>
          </w:p>
        </w:tc>
        <w:tc>
          <w:tcPr>
            <w:tcW w:type="pct" w:w="70%"/>
            <w:tcBorders>
              <w:top w:val="none" w:sz="0"/>
              <w:left w:val="none" w:sz="0"/>
              <w:bottom w:val="none" w:sz="0"/>
              <w:right w:val="none" w:sz="0"/>
            </w:tcBorders>
          </w:tcPr>
          <w:p>
            <w:pPr>
              <w:spacing w:after="100" w:before="80"/>
            </w:pPr>
            <w:r>
              <w:rPr>
                <w:rFonts w:ascii="Arial" w:cs="Arial" w:eastAsia="Arial" w:hAnsi="Arial"/>
                <w:color w:val="1E293B"/>
                <w:sz w:val="20"/>
                <w:szCs w:val="20"/>
              </w:rPr>
              <w:t xml:space="preserve">Confidential – Internal &amp; Customer Use</w:t>
            </w:r>
          </w:p>
        </w:tc>
      </w:tr>
      <w:tr>
        <w:tc>
          <w:tcPr>
            <w:tcW w:type="pct" w:w="30%"/>
            <w:tcBorders>
              <w:top w:val="none" w:sz="0"/>
              <w:left w:val="none" w:sz="0"/>
              <w:bottom w:val="none" w:sz="0"/>
              <w:right w:val="none" w:sz="0"/>
            </w:tcBorders>
            <w:shd w:fill="F8FAFC" w:val="clear"/>
          </w:tcPr>
          <w:p>
            <w:pPr>
              <w:spacing w:after="100" w:before="80"/>
            </w:pPr>
            <w:r>
              <w:rPr>
                <w:rFonts w:ascii="Arial" w:cs="Arial" w:eastAsia="Arial" w:hAnsi="Arial"/>
                <w:b/>
                <w:bCs/>
                <w:color w:val="1A3A5C"/>
                <w:sz w:val="20"/>
                <w:szCs w:val="20"/>
              </w:rPr>
              <w:t xml:space="preserve">Maintained by</w:t>
            </w:r>
          </w:p>
        </w:tc>
        <w:tc>
          <w:tcPr>
            <w:tcW w:type="pct" w:w="70%"/>
            <w:tcBorders>
              <w:top w:val="none" w:sz="0"/>
              <w:left w:val="none" w:sz="0"/>
              <w:bottom w:val="none" w:sz="0"/>
              <w:right w:val="none" w:sz="0"/>
            </w:tcBorders>
          </w:tcPr>
          <w:p>
            <w:pPr>
              <w:spacing w:after="100" w:before="80"/>
            </w:pPr>
            <w:r>
              <w:rPr>
                <w:rFonts w:ascii="Arial" w:cs="Arial" w:eastAsia="Arial" w:hAnsi="Arial"/>
                <w:color w:val="1E293B"/>
                <w:sz w:val="20"/>
                <w:szCs w:val="20"/>
              </w:rPr>
              <w:t xml:space="preserve">Altnetix LLC Security &amp; Compliance Team</w:t>
            </w:r>
          </w:p>
        </w:tc>
      </w:tr>
      <w:tr>
        <w:tc>
          <w:tcPr>
            <w:tcW w:type="pct" w:w="30%"/>
            <w:tcBorders>
              <w:top w:val="none" w:sz="0"/>
              <w:left w:val="none" w:sz="0"/>
              <w:bottom w:val="none" w:sz="0"/>
              <w:right w:val="none" w:sz="0"/>
            </w:tcBorders>
            <w:shd w:fill="F8FAFC" w:val="clear"/>
          </w:tcPr>
          <w:p>
            <w:pPr>
              <w:spacing w:after="100" w:before="80"/>
            </w:pPr>
            <w:r>
              <w:rPr>
                <w:rFonts w:ascii="Arial" w:cs="Arial" w:eastAsia="Arial" w:hAnsi="Arial"/>
                <w:b/>
                <w:bCs/>
                <w:color w:val="1A3A5C"/>
                <w:sz w:val="20"/>
                <w:szCs w:val="20"/>
              </w:rPr>
              <w:t xml:space="preserve">Contact</w:t>
            </w:r>
          </w:p>
        </w:tc>
        <w:tc>
          <w:tcPr>
            <w:tcW w:type="pct" w:w="70%"/>
            <w:tcBorders>
              <w:top w:val="none" w:sz="0"/>
              <w:left w:val="none" w:sz="0"/>
              <w:bottom w:val="none" w:sz="0"/>
              <w:right w:val="none" w:sz="0"/>
            </w:tcBorders>
          </w:tcPr>
          <w:p>
            <w:pPr>
              <w:spacing w:after="100" w:before="80"/>
            </w:pPr>
            <w:r>
              <w:rPr>
                <w:rFonts w:ascii="Arial" w:cs="Arial" w:eastAsia="Arial" w:hAnsi="Arial"/>
                <w:color w:val="1E293B"/>
                <w:sz w:val="20"/>
                <w:szCs w:val="20"/>
              </w:rPr>
              <w:t xml:space="preserve">compliance@altnetix.com</w:t>
            </w:r>
          </w:p>
        </w:tc>
      </w:tr>
    </w:tbl>
    <w:p>
      <w:pPr>
        <w:pageBreakBefore/>
      </w:pPr>
      <w:r>
        <w:t xml:space="preserve"/>
      </w:r>
    </w:p>
    <w:p>
      <w:pPr>
        <w:pBdr>
          <w:bottom w:val="single" w:color="1A3A5C" w:sz="4"/>
        </w:pBdr>
        <w:spacing w:after="120" w:before="320"/>
      </w:pPr>
      <w:r>
        <w:rPr>
          <w:rFonts w:ascii="Arial" w:cs="Arial" w:eastAsia="Arial" w:hAnsi="Arial"/>
          <w:b/>
          <w:bCs/>
          <w:color w:val="1A3A5C"/>
          <w:sz w:val="28"/>
          <w:szCs w:val="28"/>
        </w:rPr>
        <w:t xml:space="preserve">1. Purpose and Legal Basis</w:t>
      </w:r>
    </w:p>
    <w:p>
      <w:pPr>
        <w:spacing w:after="100" w:before="80"/>
      </w:pPr>
      <w:r>
        <w:rPr>
          <w:rFonts w:ascii="Arial" w:cs="Arial" w:eastAsia="Arial" w:hAnsi="Arial"/>
          <w:color w:val="1E293B"/>
          <w:sz w:val="21"/>
          <w:szCs w:val="21"/>
        </w:rPr>
        <w:t xml:space="preserve">This Data Retention Policy establishes retention periods for all categories of records created, received, or maintained by Altnetix LLC. Retention periods are established to comply with HIPAA (45 CFR §164.530(j)), applicable state medical records laws, financial regulations, and legal hold obligations.</w:t>
      </w:r>
    </w:p>
    <w:p>
      <w:pPr>
        <w:pBdr>
          <w:bottom w:val="single" w:color="1A3A5C" w:sz="4"/>
        </w:pBdr>
        <w:spacing w:after="120" w:before="320"/>
      </w:pPr>
      <w:r>
        <w:rPr>
          <w:rFonts w:ascii="Arial" w:cs="Arial" w:eastAsia="Arial" w:hAnsi="Arial"/>
          <w:b/>
          <w:bCs/>
          <w:color w:val="1A3A5C"/>
          <w:sz w:val="28"/>
          <w:szCs w:val="28"/>
        </w:rPr>
        <w:t xml:space="preserve">2. Retention Schedule</w:t>
      </w:r>
    </w:p>
    <w:tbl>
      <w:tblPr>
        <w:tblW w:type="pct" w:w="100%"/>
        <w:tblBorders>
          <w:top w:val="single" w:color="E2E8F0" w:sz="1"/>
          <w:left w:val="single" w:color="E2E8F0" w:sz="1"/>
          <w:bottom w:val="single" w:color="E2E8F0" w:sz="1"/>
          <w:right w:val="single" w:color="E2E8F0" w:sz="1"/>
          <w:insideH w:val="single" w:color="auto" w:sz="4"/>
          <w:insideV w:val="single" w:color="auto" w:sz="4"/>
        </w:tblBorders>
      </w:tblPr>
      <w:tblGrid>
        <w:gridCol w:w="100"/>
        <w:gridCol w:w="100"/>
        <w:gridCol w:w="100"/>
        <w:gridCol w:w="100"/>
      </w:tblGrid>
      <w:tr>
        <w:trPr>
          <w:tblHeader/>
        </w:trPr>
        <w:tc>
          <w:tcPr>
            <w:shd w:fill="1A3A5C" w:val="clear"/>
          </w:tcPr>
          <w:p>
            <w:r>
              <w:rPr>
                <w:rFonts w:ascii="Arial" w:cs="Arial" w:eastAsia="Arial" w:hAnsi="Arial"/>
                <w:b/>
                <w:bCs/>
                <w:color w:val="FFFFFF"/>
                <w:sz w:val="18"/>
                <w:szCs w:val="18"/>
              </w:rPr>
              <w:t xml:space="preserve">Record Category</w:t>
            </w:r>
          </w:p>
        </w:tc>
        <w:tc>
          <w:tcPr>
            <w:shd w:fill="1A3A5C" w:val="clear"/>
          </w:tcPr>
          <w:p>
            <w:r>
              <w:rPr>
                <w:rFonts w:ascii="Arial" w:cs="Arial" w:eastAsia="Arial" w:hAnsi="Arial"/>
                <w:b/>
                <w:bCs/>
                <w:color w:val="FFFFFF"/>
                <w:sz w:val="18"/>
                <w:szCs w:val="18"/>
              </w:rPr>
              <w:t xml:space="preserve">Retention Period</w:t>
            </w:r>
          </w:p>
        </w:tc>
        <w:tc>
          <w:tcPr>
            <w:shd w:fill="1A3A5C" w:val="clear"/>
          </w:tcPr>
          <w:p>
            <w:r>
              <w:rPr>
                <w:rFonts w:ascii="Arial" w:cs="Arial" w:eastAsia="Arial" w:hAnsi="Arial"/>
                <w:b/>
                <w:bCs/>
                <w:color w:val="FFFFFF"/>
                <w:sz w:val="18"/>
                <w:szCs w:val="18"/>
              </w:rPr>
              <w:t xml:space="preserve">Legal Basis</w:t>
            </w:r>
          </w:p>
        </w:tc>
        <w:tc>
          <w:tcPr>
            <w:shd w:fill="1A3A5C" w:val="clear"/>
          </w:tcPr>
          <w:p>
            <w:r>
              <w:rPr>
                <w:rFonts w:ascii="Arial" w:cs="Arial" w:eastAsia="Arial" w:hAnsi="Arial"/>
                <w:b/>
                <w:bCs/>
                <w:color w:val="FFFFFF"/>
                <w:sz w:val="18"/>
                <w:szCs w:val="18"/>
              </w:rPr>
              <w:t xml:space="preserve">Storage Location</w:t>
            </w:r>
          </w:p>
        </w:tc>
      </w:tr>
      <w:tr>
        <w:tc>
          <w:tcPr>
            <w:tcMar>
              <w:top w:type="dxa" w:w="80"/>
              <w:left w:type="dxa" w:w="80"/>
              <w:bottom w:type="dxa" w:w="80"/>
              <w:right w:type="dxa" w:w="80"/>
            </w:tcMar>
          </w:tcPr>
          <w:p>
            <w:r>
              <w:rPr>
                <w:rFonts w:ascii="Arial" w:cs="Arial" w:eastAsia="Arial" w:hAnsi="Arial"/>
                <w:color w:val="1E293B"/>
                <w:sz w:val="18"/>
                <w:szCs w:val="18"/>
              </w:rPr>
              <w:t xml:space="preserve">PHI – Patient Records (per BAA)</w:t>
            </w:r>
          </w:p>
        </w:tc>
        <w:tc>
          <w:tcPr>
            <w:tcMar>
              <w:top w:type="dxa" w:w="80"/>
              <w:left w:type="dxa" w:w="80"/>
              <w:bottom w:type="dxa" w:w="80"/>
              <w:right w:type="dxa" w:w="80"/>
            </w:tcMar>
          </w:tcPr>
          <w:p>
            <w:r>
              <w:rPr>
                <w:rFonts w:ascii="Arial" w:cs="Arial" w:eastAsia="Arial" w:hAnsi="Arial"/>
                <w:color w:val="1E293B"/>
                <w:sz w:val="18"/>
                <w:szCs w:val="18"/>
              </w:rPr>
              <w:t xml:space="preserve">6 years min (state law may extend)</w:t>
            </w:r>
          </w:p>
        </w:tc>
        <w:tc>
          <w:tcPr>
            <w:tcMar>
              <w:top w:type="dxa" w:w="80"/>
              <w:left w:type="dxa" w:w="80"/>
              <w:bottom w:type="dxa" w:w="80"/>
              <w:right w:type="dxa" w:w="80"/>
            </w:tcMar>
          </w:tcPr>
          <w:p>
            <w:r>
              <w:rPr>
                <w:rFonts w:ascii="Arial" w:cs="Arial" w:eastAsia="Arial" w:hAnsi="Arial"/>
                <w:color w:val="1E293B"/>
                <w:sz w:val="18"/>
                <w:szCs w:val="18"/>
              </w:rPr>
              <w:t xml:space="preserve">HIPAA §164.530(j)</w:t>
            </w:r>
          </w:p>
        </w:tc>
        <w:tc>
          <w:tcPr>
            <w:tcMar>
              <w:top w:type="dxa" w:w="80"/>
              <w:left w:type="dxa" w:w="80"/>
              <w:bottom w:type="dxa" w:w="80"/>
              <w:right w:type="dxa" w:w="80"/>
            </w:tcMar>
          </w:tcPr>
          <w:p>
            <w:r>
              <w:rPr>
                <w:rFonts w:ascii="Arial" w:cs="Arial" w:eastAsia="Arial" w:hAnsi="Arial"/>
                <w:color w:val="1E293B"/>
                <w:sz w:val="18"/>
                <w:szCs w:val="18"/>
              </w:rPr>
              <w:t xml:space="preserve">Azure SQL + Blob (encrypted)</w:t>
            </w:r>
          </w:p>
        </w:tc>
      </w:tr>
      <w:tr>
        <w:tc>
          <w:tcPr>
            <w:tcMar>
              <w:top w:type="dxa" w:w="80"/>
              <w:left w:type="dxa" w:w="80"/>
              <w:bottom w:type="dxa" w:w="80"/>
              <w:right w:type="dxa" w:w="80"/>
            </w:tcMar>
          </w:tcPr>
          <w:p>
            <w:r>
              <w:rPr>
                <w:rFonts w:ascii="Arial" w:cs="Arial" w:eastAsia="Arial" w:hAnsi="Arial"/>
                <w:color w:val="1E293B"/>
                <w:sz w:val="18"/>
                <w:szCs w:val="18"/>
              </w:rPr>
              <w:t xml:space="preserve">PHI – Audit Logs</w:t>
            </w:r>
          </w:p>
        </w:tc>
        <w:tc>
          <w:tcPr>
            <w:tcMar>
              <w:top w:type="dxa" w:w="80"/>
              <w:left w:type="dxa" w:w="80"/>
              <w:bottom w:type="dxa" w:w="80"/>
              <w:right w:type="dxa" w:w="80"/>
            </w:tcMar>
          </w:tcPr>
          <w:p>
            <w:r>
              <w:rPr>
                <w:rFonts w:ascii="Arial" w:cs="Arial" w:eastAsia="Arial" w:hAnsi="Arial"/>
                <w:color w:val="1E293B"/>
                <w:sz w:val="18"/>
                <w:szCs w:val="18"/>
              </w:rPr>
              <w:t xml:space="preserve">6 years</w:t>
            </w:r>
          </w:p>
        </w:tc>
        <w:tc>
          <w:tcPr>
            <w:tcMar>
              <w:top w:type="dxa" w:w="80"/>
              <w:left w:type="dxa" w:w="80"/>
              <w:bottom w:type="dxa" w:w="80"/>
              <w:right w:type="dxa" w:w="80"/>
            </w:tcMar>
          </w:tcPr>
          <w:p>
            <w:r>
              <w:rPr>
                <w:rFonts w:ascii="Arial" w:cs="Arial" w:eastAsia="Arial" w:hAnsi="Arial"/>
                <w:color w:val="1E293B"/>
                <w:sz w:val="18"/>
                <w:szCs w:val="18"/>
              </w:rPr>
              <w:t xml:space="preserve">HIPAA §164.312(b)</w:t>
            </w:r>
          </w:p>
        </w:tc>
        <w:tc>
          <w:tcPr>
            <w:tcMar>
              <w:top w:type="dxa" w:w="80"/>
              <w:left w:type="dxa" w:w="80"/>
              <w:bottom w:type="dxa" w:w="80"/>
              <w:right w:type="dxa" w:w="80"/>
            </w:tcMar>
          </w:tcPr>
          <w:p>
            <w:r>
              <w:rPr>
                <w:rFonts w:ascii="Arial" w:cs="Arial" w:eastAsia="Arial" w:hAnsi="Arial"/>
                <w:color w:val="1E293B"/>
                <w:sz w:val="18"/>
                <w:szCs w:val="18"/>
              </w:rPr>
              <w:t xml:space="preserve">Azure Blob (WORM)</w:t>
            </w:r>
          </w:p>
        </w:tc>
      </w:tr>
      <w:tr>
        <w:tc>
          <w:tcPr>
            <w:tcMar>
              <w:top w:type="dxa" w:w="80"/>
              <w:left w:type="dxa" w:w="80"/>
              <w:bottom w:type="dxa" w:w="80"/>
              <w:right w:type="dxa" w:w="80"/>
            </w:tcMar>
          </w:tcPr>
          <w:p>
            <w:r>
              <w:rPr>
                <w:rFonts w:ascii="Arial" w:cs="Arial" w:eastAsia="Arial" w:hAnsi="Arial"/>
                <w:color w:val="1E293B"/>
                <w:sz w:val="18"/>
                <w:szCs w:val="18"/>
              </w:rPr>
              <w:t xml:space="preserve">HIPAA Security Policies</w:t>
            </w:r>
          </w:p>
        </w:tc>
        <w:tc>
          <w:tcPr>
            <w:tcMar>
              <w:top w:type="dxa" w:w="80"/>
              <w:left w:type="dxa" w:w="80"/>
              <w:bottom w:type="dxa" w:w="80"/>
              <w:right w:type="dxa" w:w="80"/>
            </w:tcMar>
          </w:tcPr>
          <w:p>
            <w:r>
              <w:rPr>
                <w:rFonts w:ascii="Arial" w:cs="Arial" w:eastAsia="Arial" w:hAnsi="Arial"/>
                <w:color w:val="1E293B"/>
                <w:sz w:val="18"/>
                <w:szCs w:val="18"/>
              </w:rPr>
              <w:t xml:space="preserve">6 years from last effective date</w:t>
            </w:r>
          </w:p>
        </w:tc>
        <w:tc>
          <w:tcPr>
            <w:tcMar>
              <w:top w:type="dxa" w:w="80"/>
              <w:left w:type="dxa" w:w="80"/>
              <w:bottom w:type="dxa" w:w="80"/>
              <w:right w:type="dxa" w:w="80"/>
            </w:tcMar>
          </w:tcPr>
          <w:p>
            <w:r>
              <w:rPr>
                <w:rFonts w:ascii="Arial" w:cs="Arial" w:eastAsia="Arial" w:hAnsi="Arial"/>
                <w:color w:val="1E293B"/>
                <w:sz w:val="18"/>
                <w:szCs w:val="18"/>
              </w:rPr>
              <w:t xml:space="preserve">HIPAA §164.316(b)</w:t>
            </w:r>
          </w:p>
        </w:tc>
        <w:tc>
          <w:tcPr>
            <w:tcMar>
              <w:top w:type="dxa" w:w="80"/>
              <w:left w:type="dxa" w:w="80"/>
              <w:bottom w:type="dxa" w:w="80"/>
              <w:right w:type="dxa" w:w="80"/>
            </w:tcMar>
          </w:tcPr>
          <w:p>
            <w:r>
              <w:rPr>
                <w:rFonts w:ascii="Arial" w:cs="Arial" w:eastAsia="Arial" w:hAnsi="Arial"/>
                <w:color w:val="1E293B"/>
                <w:sz w:val="18"/>
                <w:szCs w:val="18"/>
              </w:rPr>
              <w:t xml:space="preserve">Document management</w:t>
            </w:r>
          </w:p>
        </w:tc>
      </w:tr>
      <w:tr>
        <w:tc>
          <w:tcPr>
            <w:tcMar>
              <w:top w:type="dxa" w:w="80"/>
              <w:left w:type="dxa" w:w="80"/>
              <w:bottom w:type="dxa" w:w="80"/>
              <w:right w:type="dxa" w:w="80"/>
            </w:tcMar>
          </w:tcPr>
          <w:p>
            <w:r>
              <w:rPr>
                <w:rFonts w:ascii="Arial" w:cs="Arial" w:eastAsia="Arial" w:hAnsi="Arial"/>
                <w:color w:val="1E293B"/>
                <w:sz w:val="18"/>
                <w:szCs w:val="18"/>
              </w:rPr>
              <w:t xml:space="preserve">Business Associate Agreements</w:t>
            </w:r>
          </w:p>
        </w:tc>
        <w:tc>
          <w:tcPr>
            <w:tcMar>
              <w:top w:type="dxa" w:w="80"/>
              <w:left w:type="dxa" w:w="80"/>
              <w:bottom w:type="dxa" w:w="80"/>
              <w:right w:type="dxa" w:w="80"/>
            </w:tcMar>
          </w:tcPr>
          <w:p>
            <w:r>
              <w:rPr>
                <w:rFonts w:ascii="Arial" w:cs="Arial" w:eastAsia="Arial" w:hAnsi="Arial"/>
                <w:color w:val="1E293B"/>
                <w:sz w:val="18"/>
                <w:szCs w:val="18"/>
              </w:rPr>
              <w:t xml:space="preserve">Term + 6 years</w:t>
            </w:r>
          </w:p>
        </w:tc>
        <w:tc>
          <w:tcPr>
            <w:tcMar>
              <w:top w:type="dxa" w:w="80"/>
              <w:left w:type="dxa" w:w="80"/>
              <w:bottom w:type="dxa" w:w="80"/>
              <w:right w:type="dxa" w:w="80"/>
            </w:tcMar>
          </w:tcPr>
          <w:p>
            <w:r>
              <w:rPr>
                <w:rFonts w:ascii="Arial" w:cs="Arial" w:eastAsia="Arial" w:hAnsi="Arial"/>
                <w:color w:val="1E293B"/>
                <w:sz w:val="18"/>
                <w:szCs w:val="18"/>
              </w:rPr>
              <w:t xml:space="preserve">HIPAA §164.504(e)</w:t>
            </w:r>
          </w:p>
        </w:tc>
        <w:tc>
          <w:tcPr>
            <w:tcMar>
              <w:top w:type="dxa" w:w="80"/>
              <w:left w:type="dxa" w:w="80"/>
              <w:bottom w:type="dxa" w:w="80"/>
              <w:right w:type="dxa" w:w="80"/>
            </w:tcMar>
          </w:tcPr>
          <w:p>
            <w:r>
              <w:rPr>
                <w:rFonts w:ascii="Arial" w:cs="Arial" w:eastAsia="Arial" w:hAnsi="Arial"/>
                <w:color w:val="1E293B"/>
                <w:sz w:val="18"/>
                <w:szCs w:val="18"/>
              </w:rPr>
              <w:t xml:space="preserve">Legal records</w:t>
            </w:r>
          </w:p>
        </w:tc>
      </w:tr>
      <w:tr>
        <w:tc>
          <w:tcPr>
            <w:tcMar>
              <w:top w:type="dxa" w:w="80"/>
              <w:left w:type="dxa" w:w="80"/>
              <w:bottom w:type="dxa" w:w="80"/>
              <w:right w:type="dxa" w:w="80"/>
            </w:tcMar>
          </w:tcPr>
          <w:p>
            <w:r>
              <w:rPr>
                <w:rFonts w:ascii="Arial" w:cs="Arial" w:eastAsia="Arial" w:hAnsi="Arial"/>
                <w:color w:val="1E293B"/>
                <w:sz w:val="18"/>
                <w:szCs w:val="18"/>
              </w:rPr>
              <w:t xml:space="preserve">Employee HIPAA Training Records</w:t>
            </w:r>
          </w:p>
        </w:tc>
        <w:tc>
          <w:tcPr>
            <w:tcMar>
              <w:top w:type="dxa" w:w="80"/>
              <w:left w:type="dxa" w:w="80"/>
              <w:bottom w:type="dxa" w:w="80"/>
              <w:right w:type="dxa" w:w="80"/>
            </w:tcMar>
          </w:tcPr>
          <w:p>
            <w:r>
              <w:rPr>
                <w:rFonts w:ascii="Arial" w:cs="Arial" w:eastAsia="Arial" w:hAnsi="Arial"/>
                <w:color w:val="1E293B"/>
                <w:sz w:val="18"/>
                <w:szCs w:val="18"/>
              </w:rPr>
              <w:t xml:space="preserve">6 years</w:t>
            </w:r>
          </w:p>
        </w:tc>
        <w:tc>
          <w:tcPr>
            <w:tcMar>
              <w:top w:type="dxa" w:w="80"/>
              <w:left w:type="dxa" w:w="80"/>
              <w:bottom w:type="dxa" w:w="80"/>
              <w:right w:type="dxa" w:w="80"/>
            </w:tcMar>
          </w:tcPr>
          <w:p>
            <w:r>
              <w:rPr>
                <w:rFonts w:ascii="Arial" w:cs="Arial" w:eastAsia="Arial" w:hAnsi="Arial"/>
                <w:color w:val="1E293B"/>
                <w:sz w:val="18"/>
                <w:szCs w:val="18"/>
              </w:rPr>
              <w:t xml:space="preserve">HIPAA §164.530(b)</w:t>
            </w:r>
          </w:p>
        </w:tc>
        <w:tc>
          <w:tcPr>
            <w:tcMar>
              <w:top w:type="dxa" w:w="80"/>
              <w:left w:type="dxa" w:w="80"/>
              <w:bottom w:type="dxa" w:w="80"/>
              <w:right w:type="dxa" w:w="80"/>
            </w:tcMar>
          </w:tcPr>
          <w:p>
            <w:r>
              <w:rPr>
                <w:rFonts w:ascii="Arial" w:cs="Arial" w:eastAsia="Arial" w:hAnsi="Arial"/>
                <w:color w:val="1E293B"/>
                <w:sz w:val="18"/>
                <w:szCs w:val="18"/>
              </w:rPr>
              <w:t xml:space="preserve">HR system</w:t>
            </w:r>
          </w:p>
        </w:tc>
      </w:tr>
      <w:tr>
        <w:tc>
          <w:tcPr>
            <w:tcMar>
              <w:top w:type="dxa" w:w="80"/>
              <w:left w:type="dxa" w:w="80"/>
              <w:bottom w:type="dxa" w:w="80"/>
              <w:right w:type="dxa" w:w="80"/>
            </w:tcMar>
          </w:tcPr>
          <w:p>
            <w:r>
              <w:rPr>
                <w:rFonts w:ascii="Arial" w:cs="Arial" w:eastAsia="Arial" w:hAnsi="Arial"/>
                <w:color w:val="1E293B"/>
                <w:sz w:val="18"/>
                <w:szCs w:val="18"/>
              </w:rPr>
              <w:t xml:space="preserve">System Access Logs</w:t>
            </w:r>
          </w:p>
        </w:tc>
        <w:tc>
          <w:tcPr>
            <w:tcMar>
              <w:top w:type="dxa" w:w="80"/>
              <w:left w:type="dxa" w:w="80"/>
              <w:bottom w:type="dxa" w:w="80"/>
              <w:right w:type="dxa" w:w="80"/>
            </w:tcMar>
          </w:tcPr>
          <w:p>
            <w:r>
              <w:rPr>
                <w:rFonts w:ascii="Arial" w:cs="Arial" w:eastAsia="Arial" w:hAnsi="Arial"/>
                <w:color w:val="1E293B"/>
                <w:sz w:val="18"/>
                <w:szCs w:val="18"/>
              </w:rPr>
              <w:t xml:space="preserve">1 year operational / 6 years compliance</w:t>
            </w:r>
          </w:p>
        </w:tc>
        <w:tc>
          <w:tcPr>
            <w:tcMar>
              <w:top w:type="dxa" w:w="80"/>
              <w:left w:type="dxa" w:w="80"/>
              <w:bottom w:type="dxa" w:w="80"/>
              <w:right w:type="dxa" w:w="80"/>
            </w:tcMar>
          </w:tcPr>
          <w:p>
            <w:r>
              <w:rPr>
                <w:rFonts w:ascii="Arial" w:cs="Arial" w:eastAsia="Arial" w:hAnsi="Arial"/>
                <w:color w:val="1E293B"/>
                <w:sz w:val="18"/>
                <w:szCs w:val="18"/>
              </w:rPr>
              <w:t xml:space="preserve">HIPAA + SOC 2</w:t>
            </w:r>
          </w:p>
        </w:tc>
        <w:tc>
          <w:tcPr>
            <w:tcMar>
              <w:top w:type="dxa" w:w="80"/>
              <w:left w:type="dxa" w:w="80"/>
              <w:bottom w:type="dxa" w:w="80"/>
              <w:right w:type="dxa" w:w="80"/>
            </w:tcMar>
          </w:tcPr>
          <w:p>
            <w:r>
              <w:rPr>
                <w:rFonts w:ascii="Arial" w:cs="Arial" w:eastAsia="Arial" w:hAnsi="Arial"/>
                <w:color w:val="1E293B"/>
                <w:sz w:val="18"/>
                <w:szCs w:val="18"/>
              </w:rPr>
              <w:t xml:space="preserve">Azure Monitor</w:t>
            </w:r>
          </w:p>
        </w:tc>
      </w:tr>
      <w:tr>
        <w:tc>
          <w:tcPr>
            <w:tcMar>
              <w:top w:type="dxa" w:w="80"/>
              <w:left w:type="dxa" w:w="80"/>
              <w:bottom w:type="dxa" w:w="80"/>
              <w:right w:type="dxa" w:w="80"/>
            </w:tcMar>
          </w:tcPr>
          <w:p>
            <w:r>
              <w:rPr>
                <w:rFonts w:ascii="Arial" w:cs="Arial" w:eastAsia="Arial" w:hAnsi="Arial"/>
                <w:color w:val="1E293B"/>
                <w:sz w:val="18"/>
                <w:szCs w:val="18"/>
              </w:rPr>
              <w:t xml:space="preserve">Financial Records</w:t>
            </w:r>
          </w:p>
        </w:tc>
        <w:tc>
          <w:tcPr>
            <w:tcMar>
              <w:top w:type="dxa" w:w="80"/>
              <w:left w:type="dxa" w:w="80"/>
              <w:bottom w:type="dxa" w:w="80"/>
              <w:right w:type="dxa" w:w="80"/>
            </w:tcMar>
          </w:tcPr>
          <w:p>
            <w:r>
              <w:rPr>
                <w:rFonts w:ascii="Arial" w:cs="Arial" w:eastAsia="Arial" w:hAnsi="Arial"/>
                <w:color w:val="1E293B"/>
                <w:sz w:val="18"/>
                <w:szCs w:val="18"/>
              </w:rPr>
              <w:t xml:space="preserve">7 years</w:t>
            </w:r>
          </w:p>
        </w:tc>
        <w:tc>
          <w:tcPr>
            <w:tcMar>
              <w:top w:type="dxa" w:w="80"/>
              <w:left w:type="dxa" w:w="80"/>
              <w:bottom w:type="dxa" w:w="80"/>
              <w:right w:type="dxa" w:w="80"/>
            </w:tcMar>
          </w:tcPr>
          <w:p>
            <w:r>
              <w:rPr>
                <w:rFonts w:ascii="Arial" w:cs="Arial" w:eastAsia="Arial" w:hAnsi="Arial"/>
                <w:color w:val="1E293B"/>
                <w:sz w:val="18"/>
                <w:szCs w:val="18"/>
              </w:rPr>
              <w:t xml:space="preserve">IRS / state tax law</w:t>
            </w:r>
          </w:p>
        </w:tc>
        <w:tc>
          <w:tcPr>
            <w:tcMar>
              <w:top w:type="dxa" w:w="80"/>
              <w:left w:type="dxa" w:w="80"/>
              <w:bottom w:type="dxa" w:w="80"/>
              <w:right w:type="dxa" w:w="80"/>
            </w:tcMar>
          </w:tcPr>
          <w:p>
            <w:r>
              <w:rPr>
                <w:rFonts w:ascii="Arial" w:cs="Arial" w:eastAsia="Arial" w:hAnsi="Arial"/>
                <w:color w:val="1E293B"/>
                <w:sz w:val="18"/>
                <w:szCs w:val="18"/>
              </w:rPr>
              <w:t xml:space="preserve">Accounting system</w:t>
            </w:r>
          </w:p>
        </w:tc>
      </w:tr>
      <w:tr>
        <w:tc>
          <w:tcPr>
            <w:tcMar>
              <w:top w:type="dxa" w:w="80"/>
              <w:left w:type="dxa" w:w="80"/>
              <w:bottom w:type="dxa" w:w="80"/>
              <w:right w:type="dxa" w:w="80"/>
            </w:tcMar>
          </w:tcPr>
          <w:p>
            <w:r>
              <w:rPr>
                <w:rFonts w:ascii="Arial" w:cs="Arial" w:eastAsia="Arial" w:hAnsi="Arial"/>
                <w:color w:val="1E293B"/>
                <w:sz w:val="18"/>
                <w:szCs w:val="18"/>
              </w:rPr>
              <w:t xml:space="preserve">Contracts and MSAs</w:t>
            </w:r>
          </w:p>
        </w:tc>
        <w:tc>
          <w:tcPr>
            <w:tcMar>
              <w:top w:type="dxa" w:w="80"/>
              <w:left w:type="dxa" w:w="80"/>
              <w:bottom w:type="dxa" w:w="80"/>
              <w:right w:type="dxa" w:w="80"/>
            </w:tcMar>
          </w:tcPr>
          <w:p>
            <w:r>
              <w:rPr>
                <w:rFonts w:ascii="Arial" w:cs="Arial" w:eastAsia="Arial" w:hAnsi="Arial"/>
                <w:color w:val="1E293B"/>
                <w:sz w:val="18"/>
                <w:szCs w:val="18"/>
              </w:rPr>
              <w:t xml:space="preserve">Term + 7 years</w:t>
            </w:r>
          </w:p>
        </w:tc>
        <w:tc>
          <w:tcPr>
            <w:tcMar>
              <w:top w:type="dxa" w:w="80"/>
              <w:left w:type="dxa" w:w="80"/>
              <w:bottom w:type="dxa" w:w="80"/>
              <w:right w:type="dxa" w:w="80"/>
            </w:tcMar>
          </w:tcPr>
          <w:p>
            <w:r>
              <w:rPr>
                <w:rFonts w:ascii="Arial" w:cs="Arial" w:eastAsia="Arial" w:hAnsi="Arial"/>
                <w:color w:val="1E293B"/>
                <w:sz w:val="18"/>
                <w:szCs w:val="18"/>
              </w:rPr>
              <w:t xml:space="preserve">Commercial law</w:t>
            </w:r>
          </w:p>
        </w:tc>
        <w:tc>
          <w:tcPr>
            <w:tcMar>
              <w:top w:type="dxa" w:w="80"/>
              <w:left w:type="dxa" w:w="80"/>
              <w:bottom w:type="dxa" w:w="80"/>
              <w:right w:type="dxa" w:w="80"/>
            </w:tcMar>
          </w:tcPr>
          <w:p>
            <w:r>
              <w:rPr>
                <w:rFonts w:ascii="Arial" w:cs="Arial" w:eastAsia="Arial" w:hAnsi="Arial"/>
                <w:color w:val="1E293B"/>
                <w:sz w:val="18"/>
                <w:szCs w:val="18"/>
              </w:rPr>
              <w:t xml:space="preserve">Document management</w:t>
            </w:r>
          </w:p>
        </w:tc>
      </w:tr>
      <w:tr>
        <w:tc>
          <w:tcPr>
            <w:tcMar>
              <w:top w:type="dxa" w:w="80"/>
              <w:left w:type="dxa" w:w="80"/>
              <w:bottom w:type="dxa" w:w="80"/>
              <w:right w:type="dxa" w:w="80"/>
            </w:tcMar>
          </w:tcPr>
          <w:p>
            <w:r>
              <w:rPr>
                <w:rFonts w:ascii="Arial" w:cs="Arial" w:eastAsia="Arial" w:hAnsi="Arial"/>
                <w:color w:val="1E293B"/>
                <w:sz w:val="18"/>
                <w:szCs w:val="18"/>
              </w:rPr>
              <w:t xml:space="preserve">Incident Response Records</w:t>
            </w:r>
          </w:p>
        </w:tc>
        <w:tc>
          <w:tcPr>
            <w:tcMar>
              <w:top w:type="dxa" w:w="80"/>
              <w:left w:type="dxa" w:w="80"/>
              <w:bottom w:type="dxa" w:w="80"/>
              <w:right w:type="dxa" w:w="80"/>
            </w:tcMar>
          </w:tcPr>
          <w:p>
            <w:r>
              <w:rPr>
                <w:rFonts w:ascii="Arial" w:cs="Arial" w:eastAsia="Arial" w:hAnsi="Arial"/>
                <w:color w:val="1E293B"/>
                <w:sz w:val="18"/>
                <w:szCs w:val="18"/>
              </w:rPr>
              <w:t xml:space="preserve">6 years</w:t>
            </w:r>
          </w:p>
        </w:tc>
        <w:tc>
          <w:tcPr>
            <w:tcMar>
              <w:top w:type="dxa" w:w="80"/>
              <w:left w:type="dxa" w:w="80"/>
              <w:bottom w:type="dxa" w:w="80"/>
              <w:right w:type="dxa" w:w="80"/>
            </w:tcMar>
          </w:tcPr>
          <w:p>
            <w:r>
              <w:rPr>
                <w:rFonts w:ascii="Arial" w:cs="Arial" w:eastAsia="Arial" w:hAnsi="Arial"/>
                <w:color w:val="1E293B"/>
                <w:sz w:val="18"/>
                <w:szCs w:val="18"/>
              </w:rPr>
              <w:t xml:space="preserve">HIPAA §164.308(a)(6)</w:t>
            </w:r>
          </w:p>
        </w:tc>
        <w:tc>
          <w:tcPr>
            <w:tcMar>
              <w:top w:type="dxa" w:w="80"/>
              <w:left w:type="dxa" w:w="80"/>
              <w:bottom w:type="dxa" w:w="80"/>
              <w:right w:type="dxa" w:w="80"/>
            </w:tcMar>
          </w:tcPr>
          <w:p>
            <w:r>
              <w:rPr>
                <w:rFonts w:ascii="Arial" w:cs="Arial" w:eastAsia="Arial" w:hAnsi="Arial"/>
                <w:color w:val="1E293B"/>
                <w:sz w:val="18"/>
                <w:szCs w:val="18"/>
              </w:rPr>
              <w:t xml:space="preserve">Compliance files</w:t>
            </w:r>
          </w:p>
        </w:tc>
      </w:tr>
      <w:tr>
        <w:tc>
          <w:tcPr>
            <w:tcMar>
              <w:top w:type="dxa" w:w="80"/>
              <w:left w:type="dxa" w:w="80"/>
              <w:bottom w:type="dxa" w:w="80"/>
              <w:right w:type="dxa" w:w="80"/>
            </w:tcMar>
          </w:tcPr>
          <w:p>
            <w:r>
              <w:rPr>
                <w:rFonts w:ascii="Arial" w:cs="Arial" w:eastAsia="Arial" w:hAnsi="Arial"/>
                <w:color w:val="1E293B"/>
                <w:sz w:val="18"/>
                <w:szCs w:val="18"/>
              </w:rPr>
              <w:t xml:space="preserve">Backup Data</w:t>
            </w:r>
          </w:p>
        </w:tc>
        <w:tc>
          <w:tcPr>
            <w:tcMar>
              <w:top w:type="dxa" w:w="80"/>
              <w:left w:type="dxa" w:w="80"/>
              <w:bottom w:type="dxa" w:w="80"/>
              <w:right w:type="dxa" w:w="80"/>
            </w:tcMar>
          </w:tcPr>
          <w:p>
            <w:r>
              <w:rPr>
                <w:rFonts w:ascii="Arial" w:cs="Arial" w:eastAsia="Arial" w:hAnsi="Arial"/>
                <w:color w:val="1E293B"/>
                <w:sz w:val="18"/>
                <w:szCs w:val="18"/>
              </w:rPr>
              <w:t xml:space="preserve">Per recovery objectives (90 days)</w:t>
            </w:r>
          </w:p>
        </w:tc>
        <w:tc>
          <w:tcPr>
            <w:tcMar>
              <w:top w:type="dxa" w:w="80"/>
              <w:left w:type="dxa" w:w="80"/>
              <w:bottom w:type="dxa" w:w="80"/>
              <w:right w:type="dxa" w:w="80"/>
            </w:tcMar>
          </w:tcPr>
          <w:p>
            <w:r>
              <w:rPr>
                <w:rFonts w:ascii="Arial" w:cs="Arial" w:eastAsia="Arial" w:hAnsi="Arial"/>
                <w:color w:val="1E293B"/>
                <w:sz w:val="18"/>
                <w:szCs w:val="18"/>
              </w:rPr>
              <w:t xml:space="preserve">Operational</w:t>
            </w:r>
          </w:p>
        </w:tc>
        <w:tc>
          <w:tcPr>
            <w:tcMar>
              <w:top w:type="dxa" w:w="80"/>
              <w:left w:type="dxa" w:w="80"/>
              <w:bottom w:type="dxa" w:w="80"/>
              <w:right w:type="dxa" w:w="80"/>
            </w:tcMar>
          </w:tcPr>
          <w:p>
            <w:r>
              <w:rPr>
                <w:rFonts w:ascii="Arial" w:cs="Arial" w:eastAsia="Arial" w:hAnsi="Arial"/>
                <w:color w:val="1E293B"/>
                <w:sz w:val="18"/>
                <w:szCs w:val="18"/>
              </w:rPr>
              <w:t xml:space="preserve">Azure Backup (geo-redundant)</w:t>
            </w:r>
          </w:p>
        </w:tc>
      </w:tr>
    </w:tbl>
    <w:p>
      <w:pPr>
        <w:pBdr>
          <w:bottom w:val="single" w:color="1A3A5C" w:sz="4"/>
        </w:pBdr>
        <w:spacing w:after="120" w:before="320"/>
      </w:pPr>
      <w:r>
        <w:rPr>
          <w:rFonts w:ascii="Arial" w:cs="Arial" w:eastAsia="Arial" w:hAnsi="Arial"/>
          <w:b/>
          <w:bCs/>
          <w:color w:val="1A3A5C"/>
          <w:sz w:val="28"/>
          <w:szCs w:val="28"/>
        </w:rPr>
        <w:t xml:space="preserve">3. PHI Retention Specifics</w:t>
      </w:r>
    </w:p>
    <w:p>
      <w:pPr>
        <w:spacing w:after="100" w:before="80"/>
      </w:pPr>
      <w:r>
        <w:rPr>
          <w:rFonts w:ascii="Arial" w:cs="Arial" w:eastAsia="Arial" w:hAnsi="Arial"/>
          <w:color w:val="1E293B"/>
          <w:sz w:val="21"/>
          <w:szCs w:val="21"/>
        </w:rPr>
        <w:t xml:space="preserve">PHI is retained for a minimum of 6 years from the date of creation or the date when the PHI was last in effect. When a Covered Entity terminates its subscription, PHI is returned or destroyed within 90 days per the applicable BAA. State-specific requirements (e.g., 10 years in some states for certain record types) take precedence over the 6-year federal minimum.</w:t>
      </w:r>
    </w:p>
    <w:p>
      <w:pPr>
        <w:pBdr>
          <w:bottom w:val="single" w:color="1A3A5C" w:sz="4"/>
        </w:pBdr>
        <w:spacing w:after="120" w:before="320"/>
      </w:pPr>
      <w:r>
        <w:rPr>
          <w:rFonts w:ascii="Arial" w:cs="Arial" w:eastAsia="Arial" w:hAnsi="Arial"/>
          <w:b/>
          <w:bCs/>
          <w:color w:val="1A3A5C"/>
          <w:sz w:val="28"/>
          <w:szCs w:val="28"/>
        </w:rPr>
        <w:t xml:space="preserve">4. Retention Enforcement</w:t>
      </w:r>
    </w:p>
    <w:p>
      <w:pPr>
        <w:spacing w:after="100" w:before="80"/>
      </w:pPr>
      <w:r>
        <w:rPr>
          <w:rFonts w:ascii="Arial" w:cs="Arial" w:eastAsia="Arial" w:hAnsi="Arial"/>
          <w:color w:val="1E293B"/>
          <w:sz w:val="21"/>
          <w:szCs w:val="21"/>
        </w:rPr>
        <w:t xml:space="preserve">Automated retention controls are implemented in the VitaAI platform where technically feasible. The DbCleanupService runs every 2 hours to enforce operational data retention limits. WORM-protected Azure Blob containers prevent deletion of immutable audit records during the retention period.</w:t>
      </w:r>
    </w:p>
    <w:p>
      <w:pPr>
        <w:pBdr>
          <w:bottom w:val="single" w:color="1A3A5C" w:sz="4"/>
        </w:pBdr>
        <w:spacing w:after="120" w:before="320"/>
      </w:pPr>
      <w:r>
        <w:rPr>
          <w:rFonts w:ascii="Arial" w:cs="Arial" w:eastAsia="Arial" w:hAnsi="Arial"/>
          <w:b/>
          <w:bCs/>
          <w:color w:val="1A3A5C"/>
          <w:sz w:val="28"/>
          <w:szCs w:val="28"/>
        </w:rPr>
        <w:t xml:space="preserve">5. Legal Holds</w:t>
      </w:r>
    </w:p>
    <w:p>
      <w:pPr>
        <w:spacing w:after="100" w:before="80"/>
      </w:pPr>
      <w:r>
        <w:rPr>
          <w:rFonts w:ascii="Arial" w:cs="Arial" w:eastAsia="Arial" w:hAnsi="Arial"/>
          <w:color w:val="1E293B"/>
          <w:sz w:val="21"/>
          <w:szCs w:val="21"/>
        </w:rPr>
        <w:t xml:space="preserve">When litigation, regulatory investigation, or audit is reasonably anticipated, normal disposition schedules are suspended. Legal holds are issued by the Security Officer in writing. All workforce members notified of a legal hold must preserve relevant records regardless of scheduled disposition dates.</w:t>
      </w:r>
    </w:p>
    <w:p>
      <w:pPr>
        <w:pBdr>
          <w:bottom w:val="single" w:color="1A3A5C" w:sz="4"/>
        </w:pBdr>
        <w:spacing w:after="120" w:before="320"/>
      </w:pPr>
      <w:r>
        <w:rPr>
          <w:rFonts w:ascii="Arial" w:cs="Arial" w:eastAsia="Arial" w:hAnsi="Arial"/>
          <w:b/>
          <w:bCs/>
          <w:color w:val="1A3A5C"/>
          <w:sz w:val="28"/>
          <w:szCs w:val="28"/>
        </w:rPr>
        <w:t xml:space="preserve">6. Roles and Responsibilities</w:t>
      </w:r>
    </w:p>
    <w:p>
      <w:pPr>
        <w:pStyle w:val="ListParagraph"/>
        <w:numPr>
          <w:ilvl w:val="0"/>
          <w:numId w:val="1"/>
        </w:numPr>
        <w:spacing w:after="60" w:before="60"/>
      </w:pPr>
      <w:r>
        <w:rPr>
          <w:rFonts w:ascii="Arial" w:cs="Arial" w:eastAsia="Arial" w:hAnsi="Arial"/>
          <w:color w:val="1E293B"/>
          <w:sz w:val="21"/>
          <w:szCs w:val="21"/>
        </w:rPr>
        <w:t xml:space="preserve">Security Officer — maintains this Policy, manages legal holds, approves exceptions</w:t>
      </w:r>
    </w:p>
    <w:p>
      <w:pPr>
        <w:pStyle w:val="ListParagraph"/>
        <w:numPr>
          <w:ilvl w:val="0"/>
          <w:numId w:val="1"/>
        </w:numPr>
        <w:spacing w:after="60" w:before="60"/>
      </w:pPr>
      <w:r>
        <w:rPr>
          <w:rFonts w:ascii="Arial" w:cs="Arial" w:eastAsia="Arial" w:hAnsi="Arial"/>
          <w:color w:val="1E293B"/>
          <w:sz w:val="21"/>
          <w:szCs w:val="21"/>
        </w:rPr>
        <w:t xml:space="preserve">Engineering — implements technical controls for automated retention enforcement</w:t>
      </w:r>
    </w:p>
    <w:p>
      <w:pPr>
        <w:pStyle w:val="ListParagraph"/>
        <w:numPr>
          <w:ilvl w:val="0"/>
          <w:numId w:val="1"/>
        </w:numPr>
        <w:spacing w:after="60" w:before="60"/>
      </w:pPr>
      <w:r>
        <w:rPr>
          <w:rFonts w:ascii="Arial" w:cs="Arial" w:eastAsia="Arial" w:hAnsi="Arial"/>
          <w:color w:val="1E293B"/>
          <w:sz w:val="21"/>
          <w:szCs w:val="21"/>
        </w:rPr>
        <w:t xml:space="preserve">HR — maintains employee training and personnel records per schedule</w:t>
      </w:r>
    </w:p>
    <w:p>
      <w:pPr>
        <w:pStyle w:val="ListParagraph"/>
        <w:numPr>
          <w:ilvl w:val="0"/>
          <w:numId w:val="1"/>
        </w:numPr>
        <w:spacing w:after="60" w:before="60"/>
      </w:pPr>
      <w:r>
        <w:rPr>
          <w:rFonts w:ascii="Arial" w:cs="Arial" w:eastAsia="Arial" w:hAnsi="Arial"/>
          <w:color w:val="1E293B"/>
          <w:sz w:val="21"/>
          <w:szCs w:val="21"/>
        </w:rPr>
        <w:t xml:space="preserve">Finance — maintains financial records per applicable tax and accounting requirements</w:t>
      </w:r>
    </w:p>
    <w:sectPr>
      <w:headerReference w:type="default" r:id="rId7"/>
      <w:footerReference w:type="default" r:id="rId8"/>
      <w:pgSz w:w="11906" w:h="16838"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2E8F0" w:sz="2"/>
      </w:pBdr>
    </w:pPr>
    <w:r>
      <w:rPr>
        <w:rFonts w:ascii="Arial" w:cs="Arial" w:eastAsia="Arial" w:hAnsi="Arial"/>
        <w:color w:val="64748B"/>
        <w:sz w:val="16"/>
        <w:szCs w:val="16"/>
      </w:rPr>
      <w:t xml:space="preserve">Confidential – Altnetix LLC  |  https://vitaai.altnetix.com</w:t>
    </w:r>
    <w:r>
      <w:rPr>
        <w:rFonts w:ascii="Arial" w:cs="Arial" w:eastAsia="Arial" w:hAnsi="Arial"/>
        <w:color w:val="64748B"/>
        <w:sz w:val="16"/>
        <w:szCs w:val="16"/>
      </w:rPr>
      <w:t xml:space="preserve">    Version 1.0  |  Effective June 1, 2026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A3A5C" w:sz="4"/>
      </w:pBdr>
    </w:pPr>
    <w:r>
      <w:rPr>
        <w:rFonts w:ascii="Arial" w:cs="Arial" w:eastAsia="Arial" w:hAnsi="Arial"/>
        <w:b/>
        <w:bCs/>
        <w:color w:val="1A3A5C"/>
        <w:sz w:val="18"/>
        <w:szCs w:val="18"/>
      </w:rPr>
      <w:t xml:space="preserve">Altnetix LLC  |  VitaAI</w:t>
    </w:r>
    <w:r>
      <w:rPr>
        <w:rFonts w:ascii="Arial" w:cs="Arial" w:eastAsia="Arial" w:hAnsi="Arial"/>
        <w:color w:val="64748B"/>
        <w:sz w:val="18"/>
        <w:szCs w:val="18"/>
      </w:rPr>
      <w:t xml:space="preserve">    Data Retention Policy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Retention Policy</dc:title>
  <dc:creator>Altnetix LLC</dc:creator>
  <dc:description>Defines retention periods for all data categories including PHI, system logs, financial records, and contracts.</dc:description>
  <cp:lastModifiedBy>Un-named</cp:lastModifiedBy>
  <cp:revision>1</cp:revision>
  <dcterms:created xsi:type="dcterms:W3CDTF">2026-06-09T16:58:18.574Z</dcterms:created>
  <dcterms:modified xsi:type="dcterms:W3CDTF">2026-06-09T16:58:18.574Z</dcterms:modified>
</cp:coreProperties>
</file>

<file path=docProps/custom.xml><?xml version="1.0" encoding="utf-8"?>
<Properties xmlns="http://schemas.openxmlformats.org/officeDocument/2006/custom-properties" xmlns:vt="http://schemas.openxmlformats.org/officeDocument/2006/docPropsVTypes"/>
</file>