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A3A5C" w:val="clear"/>
        <w:spacing w:after="0" w:before="0"/>
      </w:pPr>
      <w:r>
        <w:rPr>
          <w:rFonts w:ascii="Arial" w:cs="Arial" w:eastAsia="Arial" w:hAnsi="Arial"/>
          <w:sz w:val="52"/>
          <w:szCs w:val="52"/>
        </w:rPr>
        <w:t xml:space="preserve"> </w:t>
      </w:r>
    </w:p>
    <w:p>
      <w:pPr>
        <w:spacing w:after="0" w:before="0"/>
      </w:pPr>
      <w:r>
        <w:t xml:space="preserve"/>
      </w:r>
    </w:p>
    <w:p>
      <w:pPr>
        <w:spacing w:after="0" w:before="0"/>
      </w:pPr>
      <w:r>
        <w:t xml:space="preserve"/>
      </w:r>
    </w:p>
    <w:p>
      <w:pPr>
        <w:spacing w:after="80" w:before="480"/>
        <w:jc w:val="center"/>
      </w:pPr>
      <w:r>
        <w:rPr>
          <w:rFonts w:ascii="Arial" w:cs="Arial" w:eastAsia="Arial" w:hAnsi="Arial"/>
          <w:b/>
          <w:bCs/>
          <w:color w:val="1A3A5C"/>
          <w:spacing w:val="80"/>
          <w:sz w:val="30"/>
          <w:szCs w:val="30"/>
        </w:rPr>
        <w:t xml:space="preserve">ALTNETIX LLC</w:t>
      </w:r>
    </w:p>
    <w:p>
      <w:pPr>
        <w:spacing w:after="480" w:before="0"/>
        <w:jc w:val="center"/>
      </w:pPr>
      <w:r>
        <w:rPr>
          <w:rFonts w:ascii="Arial" w:cs="Arial" w:eastAsia="Arial" w:hAnsi="Arial"/>
          <w:i/>
          <w:iCs/>
          <w:color w:val="1E4D8C"/>
          <w:sz w:val="24"/>
          <w:szCs w:val="24"/>
        </w:rPr>
        <w:t xml:space="preserve">VitaAI Platform</w:t>
      </w:r>
    </w:p>
    <w:p>
      <w:pPr>
        <w:shd w:fill="1A3A5C" w:val="clear"/>
        <w:spacing w:after="0" w:before="40"/>
        <w:jc w:val="center"/>
      </w:pPr>
      <w:r>
        <w:rPr>
          <w:rFonts w:ascii="Arial" w:cs="Arial" w:eastAsia="Arial" w:hAnsi="Arial"/>
          <w:b/>
          <w:bCs/>
          <w:color w:val="FFFFFF"/>
          <w:sz w:val="36"/>
          <w:szCs w:val="36"/>
        </w:rPr>
        <w:t xml:space="preserve">HOST HARDENING DOCUMENTATION</w:t>
      </w:r>
    </w:p>
    <w:p>
      <w:pPr>
        <w:shd w:fill="1E4D8C" w:val="clear"/>
        <w:spacing w:after="48" w:before="0"/>
        <w:jc w:val="center"/>
      </w:pPr>
      <w:r>
        <w:rPr>
          <w:rFonts w:ascii="Arial" w:cs="Arial" w:eastAsia="Arial" w:hAnsi="Arial"/>
          <w:color w:val="FFFFFF"/>
          <w:sz w:val="22"/>
          <w:szCs w:val="22"/>
        </w:rPr>
        <w:t xml:space="preserve">Infrastructure Security Baseline and Hardening Standards</w:t>
      </w:r>
    </w:p>
    <w:p>
      <w:pPr>
        <w:spacing w:after="0" w:before="0"/>
      </w:pPr>
      <w:r>
        <w:t xml:space="preserve"/>
      </w:r>
    </w:p>
    <w:p>
      <w:pPr>
        <w:spacing w:after="0" w:before="0"/>
      </w:pPr>
      <w:r>
        <w:t xml:space="preserve"/>
      </w:r>
    </w:p>
    <w:tbl>
      <w:tblPr>
        <w:tblW w:type="pct" w:w="100%"/>
        <w:tblBorders>
          <w:top w:val="single" w:color="E2E8F0" w:sz="1"/>
          <w:left w:val="single" w:color="E2E8F0" w:sz="1"/>
          <w:bottom w:val="single" w:color="E2E8F0" w:sz="1"/>
          <w:right w:val="single" w:color="E2E8F0" w:sz="1"/>
          <w:insideH w:val="single" w:color="auto" w:sz="4"/>
          <w:insideV w:val="single" w:color="auto" w:sz="4"/>
        </w:tblBorders>
      </w:tblPr>
      <w:tblGrid>
        <w:gridCol w:w="100"/>
        <w:gridCol w:w="100"/>
      </w:tblGrid>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Control Reference</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INFRA-8</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Document Version</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1.0</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Effective Date</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June 1, 2026</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Next Review</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June 1, 2027</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Classification</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Confidential – Internal &amp; Customer Use</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Maintained by</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Altnetix LLC Security &amp; Compliance Team</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Contact</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compliance@altnetix.com</w:t>
            </w:r>
          </w:p>
        </w:tc>
      </w:tr>
    </w:tbl>
    <w:p>
      <w:pPr>
        <w:pageBreakBefore/>
      </w:pPr>
      <w:r>
        <w:t xml:space="preserve"/>
      </w:r>
    </w:p>
    <w:p>
      <w:pPr>
        <w:pBdr>
          <w:bottom w:val="single" w:color="1A3A5C" w:sz="4"/>
        </w:pBdr>
        <w:spacing w:after="120" w:before="320"/>
      </w:pPr>
      <w:r>
        <w:rPr>
          <w:rFonts w:ascii="Arial" w:cs="Arial" w:eastAsia="Arial" w:hAnsi="Arial"/>
          <w:b/>
          <w:bCs/>
          <w:color w:val="1A3A5C"/>
          <w:sz w:val="28"/>
          <w:szCs w:val="28"/>
        </w:rPr>
        <w:t xml:space="preserve">1. Purpose and Scope</w:t>
      </w:r>
    </w:p>
    <w:p>
      <w:pPr>
        <w:spacing w:after="100" w:before="80"/>
      </w:pPr>
      <w:r>
        <w:rPr>
          <w:rFonts w:ascii="Arial" w:cs="Arial" w:eastAsia="Arial" w:hAnsi="Arial"/>
          <w:color w:val="1E293B"/>
          <w:sz w:val="21"/>
          <w:szCs w:val="21"/>
        </w:rPr>
        <w:t xml:space="preserve">This document describes the security hardening measures applied to Altnetix LLC's Azure App Service infrastructure, network controls, and supporting services. Hardening is aligned with the CIS Microsoft Azure Foundations Benchmark v1.5 and HIPAA §164.312 technical safeguard requirements.</w:t>
      </w:r>
    </w:p>
    <w:p>
      <w:pPr>
        <w:pBdr>
          <w:bottom w:val="single" w:color="1A3A5C" w:sz="4"/>
        </w:pBdr>
        <w:spacing w:after="120" w:before="320"/>
      </w:pPr>
      <w:r>
        <w:rPr>
          <w:rFonts w:ascii="Arial" w:cs="Arial" w:eastAsia="Arial" w:hAnsi="Arial"/>
          <w:b/>
          <w:bCs/>
          <w:color w:val="1A3A5C"/>
          <w:sz w:val="28"/>
          <w:szCs w:val="28"/>
        </w:rPr>
        <w:t xml:space="preserve">2. TLS and Transport Security</w:t>
      </w:r>
    </w:p>
    <w:p>
      <w:pPr>
        <w:spacing w:after="80" w:before="220"/>
      </w:pPr>
      <w:r>
        <w:rPr>
          <w:rFonts w:ascii="Arial" w:cs="Arial" w:eastAsia="Arial" w:hAnsi="Arial"/>
          <w:b/>
          <w:bCs/>
          <w:color w:val="1E4D8C"/>
          <w:sz w:val="24"/>
          <w:szCs w:val="24"/>
        </w:rPr>
        <w:t xml:space="preserve">Cipher Suite Configuration</w:t>
      </w:r>
    </w:p>
    <w:p>
      <w:pPr>
        <w:spacing w:after="100" w:before="80"/>
      </w:pPr>
      <w:r>
        <w:rPr>
          <w:rFonts w:ascii="Arial" w:cs="Arial" w:eastAsia="Arial" w:hAnsi="Arial"/>
          <w:color w:val="1E293B"/>
          <w:sz w:val="21"/>
          <w:szCs w:val="21"/>
        </w:rPr>
        <w:t xml:space="preserve">All CBC-mode and static-RSA cipher suites have been disabled following a Qualys SSL Labs assessment (score: A). The following TLS 1.2 suites are enabled:</w:t>
      </w:r>
    </w:p>
    <w:p>
      <w:pPr>
        <w:pStyle w:val="ListParagraph"/>
        <w:numPr>
          <w:ilvl w:val="0"/>
          <w:numId w:val="1"/>
        </w:numPr>
        <w:spacing w:after="60" w:before="60"/>
      </w:pPr>
      <w:r>
        <w:rPr>
          <w:rFonts w:ascii="Arial" w:cs="Arial" w:eastAsia="Arial" w:hAnsi="Arial"/>
          <w:color w:val="1E293B"/>
          <w:sz w:val="21"/>
          <w:szCs w:val="21"/>
        </w:rPr>
        <w:t xml:space="preserve">TLS_ECDHE_RSA_WITH_AES_128_GCM_SHA256 (0xC02F) — forward secret, AEAD</w:t>
      </w:r>
    </w:p>
    <w:p>
      <w:pPr>
        <w:pStyle w:val="ListParagraph"/>
        <w:numPr>
          <w:ilvl w:val="0"/>
          <w:numId w:val="1"/>
        </w:numPr>
        <w:spacing w:after="60" w:before="60"/>
      </w:pPr>
      <w:r>
        <w:rPr>
          <w:rFonts w:ascii="Arial" w:cs="Arial" w:eastAsia="Arial" w:hAnsi="Arial"/>
          <w:color w:val="1E293B"/>
          <w:sz w:val="21"/>
          <w:szCs w:val="21"/>
        </w:rPr>
        <w:t xml:space="preserve">TLS_ECDHE_RSA_WITH_AES_256_GCM_SHA384 (0xC030) — forward secret, AEAD</w:t>
      </w:r>
    </w:p>
    <w:p>
      <w:pPr>
        <w:spacing w:after="100" w:before="80"/>
      </w:pPr>
      <w:r>
        <w:rPr>
          <w:rFonts w:ascii="Arial" w:cs="Arial" w:eastAsia="Arial" w:hAnsi="Arial"/>
          <w:color w:val="1E293B"/>
          <w:sz w:val="21"/>
          <w:szCs w:val="21"/>
        </w:rPr>
        <w:t xml:space="preserve">TLS 1.3 is enabled with TLS_AES_128_GCM_SHA256, TLS_AES_256_GCM_SHA384, and TLS_CHACHA20_POLY1305_SHA256.</w:t>
      </w:r>
    </w:p>
    <w:p>
      <w:pPr>
        <w:spacing w:after="80" w:before="220"/>
      </w:pPr>
      <w:r>
        <w:rPr>
          <w:rFonts w:ascii="Arial" w:cs="Arial" w:eastAsia="Arial" w:hAnsi="Arial"/>
          <w:b/>
          <w:bCs/>
          <w:color w:val="1E4D8C"/>
          <w:sz w:val="24"/>
          <w:szCs w:val="24"/>
        </w:rPr>
        <w:t xml:space="preserve">HSTS Configuration</w:t>
      </w:r>
    </w:p>
    <w:p>
      <w:pPr>
        <w:spacing w:after="100" w:before="80"/>
      </w:pPr>
      <w:r>
        <w:rPr>
          <w:rFonts w:ascii="Arial" w:cs="Arial" w:eastAsia="Arial" w:hAnsi="Arial"/>
          <w:color w:val="1E293B"/>
          <w:sz w:val="21"/>
          <w:szCs w:val="21"/>
        </w:rPr>
        <w:t xml:space="preserve">HTTP Strict Transport Security is configured with max-age=31536000 (1 year), includeSubDomains, and preload. This is enforced at both the application layer (ASP.NET Core middleware) and the IIS layer (URL Rewrite outbound rule) to prevent platform-level override.</w:t>
      </w:r>
    </w:p>
    <w:p>
      <w:pPr>
        <w:spacing w:after="80" w:before="220"/>
      </w:pPr>
      <w:r>
        <w:rPr>
          <w:rFonts w:ascii="Arial" w:cs="Arial" w:eastAsia="Arial" w:hAnsi="Arial"/>
          <w:b/>
          <w:bCs/>
          <w:color w:val="1E4D8C"/>
          <w:sz w:val="24"/>
          <w:szCs w:val="24"/>
        </w:rPr>
        <w:t xml:space="preserve">Protocol Controls</w:t>
      </w:r>
    </w:p>
    <w:p>
      <w:pPr>
        <w:spacing w:after="100" w:before="80"/>
      </w:pPr>
      <w:r>
        <w:rPr>
          <w:rFonts w:ascii="Arial" w:cs="Arial" w:eastAsia="Arial" w:hAnsi="Arial"/>
          <w:color w:val="1E293B"/>
          <w:sz w:val="21"/>
          <w:szCs w:val="21"/>
        </w:rPr>
        <w:t xml:space="preserve">TLS 1.0 and 1.1 are disabled at the Azure App Service platform level. Minimum TLS version is set to 1.2 in App Service configuration. HTTPS-only mode is enforced.</w:t>
      </w:r>
    </w:p>
    <w:p>
      <w:pPr>
        <w:pBdr>
          <w:bottom w:val="single" w:color="1A3A5C" w:sz="4"/>
        </w:pBdr>
        <w:spacing w:after="120" w:before="320"/>
      </w:pPr>
      <w:r>
        <w:rPr>
          <w:rFonts w:ascii="Arial" w:cs="Arial" w:eastAsia="Arial" w:hAnsi="Arial"/>
          <w:b/>
          <w:bCs/>
          <w:color w:val="1A3A5C"/>
          <w:sz w:val="28"/>
          <w:szCs w:val="28"/>
        </w:rPr>
        <w:t xml:space="preserve">3. Security Response Headers</w:t>
      </w:r>
    </w:p>
    <w:p>
      <w:pPr>
        <w:spacing w:after="100" w:before="80"/>
      </w:pPr>
      <w:r>
        <w:rPr>
          <w:rFonts w:ascii="Arial" w:cs="Arial" w:eastAsia="Arial" w:hAnsi="Arial"/>
          <w:color w:val="1E293B"/>
          <w:sz w:val="21"/>
          <w:szCs w:val="21"/>
        </w:rPr>
        <w:t xml:space="preserve">All API responses include the following security headers:</w:t>
      </w:r>
    </w:p>
    <w:tbl>
      <w:tblPr>
        <w:tblW w:type="pct" w:w="100%"/>
        <w:tblBorders>
          <w:top w:val="single" w:color="E2E8F0" w:sz="1"/>
          <w:left w:val="single" w:color="E2E8F0" w:sz="1"/>
          <w:bottom w:val="single" w:color="E2E8F0" w:sz="1"/>
          <w:right w:val="single" w:color="E2E8F0" w:sz="1"/>
          <w:insideH w:val="single" w:color="auto" w:sz="4"/>
          <w:insideV w:val="single" w:color="auto" w:sz="4"/>
        </w:tblBorders>
      </w:tblPr>
      <w:tblGrid>
        <w:gridCol w:w="100"/>
        <w:gridCol w:w="100"/>
        <w:gridCol w:w="100"/>
      </w:tblGrid>
      <w:tr>
        <w:trPr>
          <w:tblHeader/>
        </w:trPr>
        <w:tc>
          <w:tcPr>
            <w:shd w:fill="1A3A5C" w:val="clear"/>
          </w:tcPr>
          <w:p>
            <w:r>
              <w:rPr>
                <w:rFonts w:ascii="Arial" w:cs="Arial" w:eastAsia="Arial" w:hAnsi="Arial"/>
                <w:b/>
                <w:bCs/>
                <w:color w:val="FFFFFF"/>
                <w:sz w:val="18"/>
                <w:szCs w:val="18"/>
              </w:rPr>
              <w:t xml:space="preserve">Header</w:t>
            </w:r>
          </w:p>
        </w:tc>
        <w:tc>
          <w:tcPr>
            <w:shd w:fill="1A3A5C" w:val="clear"/>
          </w:tcPr>
          <w:p>
            <w:r>
              <w:rPr>
                <w:rFonts w:ascii="Arial" w:cs="Arial" w:eastAsia="Arial" w:hAnsi="Arial"/>
                <w:b/>
                <w:bCs/>
                <w:color w:val="FFFFFF"/>
                <w:sz w:val="18"/>
                <w:szCs w:val="18"/>
              </w:rPr>
              <w:t xml:space="preserve">Value</w:t>
            </w:r>
          </w:p>
        </w:tc>
        <w:tc>
          <w:tcPr>
            <w:shd w:fill="1A3A5C" w:val="clear"/>
          </w:tcPr>
          <w:p>
            <w:r>
              <w:rPr>
                <w:rFonts w:ascii="Arial" w:cs="Arial" w:eastAsia="Arial" w:hAnsi="Arial"/>
                <w:b/>
                <w:bCs/>
                <w:color w:val="FFFFFF"/>
                <w:sz w:val="18"/>
                <w:szCs w:val="18"/>
              </w:rPr>
              <w:t xml:space="preserve">Purpose</w:t>
            </w:r>
          </w:p>
        </w:tc>
      </w:tr>
      <w:tr>
        <w:tc>
          <w:tcPr>
            <w:tcMar>
              <w:top w:type="dxa" w:w="80"/>
              <w:left w:type="dxa" w:w="80"/>
              <w:bottom w:type="dxa" w:w="80"/>
              <w:right w:type="dxa" w:w="80"/>
            </w:tcMar>
          </w:tcPr>
          <w:p>
            <w:r>
              <w:rPr>
                <w:rFonts w:ascii="Arial" w:cs="Arial" w:eastAsia="Arial" w:hAnsi="Arial"/>
                <w:color w:val="1E293B"/>
                <w:sz w:val="18"/>
                <w:szCs w:val="18"/>
              </w:rPr>
              <w:t xml:space="preserve">Strict-Transport-Security</w:t>
            </w:r>
          </w:p>
        </w:tc>
        <w:tc>
          <w:tcPr>
            <w:tcMar>
              <w:top w:type="dxa" w:w="80"/>
              <w:left w:type="dxa" w:w="80"/>
              <w:bottom w:type="dxa" w:w="80"/>
              <w:right w:type="dxa" w:w="80"/>
            </w:tcMar>
          </w:tcPr>
          <w:p>
            <w:r>
              <w:rPr>
                <w:rFonts w:ascii="Arial" w:cs="Arial" w:eastAsia="Arial" w:hAnsi="Arial"/>
                <w:color w:val="1E293B"/>
                <w:sz w:val="18"/>
                <w:szCs w:val="18"/>
              </w:rPr>
              <w:t xml:space="preserve">max-age=31536000; includeSubDomains; preload</w:t>
            </w:r>
          </w:p>
        </w:tc>
        <w:tc>
          <w:tcPr>
            <w:tcMar>
              <w:top w:type="dxa" w:w="80"/>
              <w:left w:type="dxa" w:w="80"/>
              <w:bottom w:type="dxa" w:w="80"/>
              <w:right w:type="dxa" w:w="80"/>
            </w:tcMar>
          </w:tcPr>
          <w:p>
            <w:r>
              <w:rPr>
                <w:rFonts w:ascii="Arial" w:cs="Arial" w:eastAsia="Arial" w:hAnsi="Arial"/>
                <w:color w:val="1E293B"/>
                <w:sz w:val="18"/>
                <w:szCs w:val="18"/>
              </w:rPr>
              <w:t xml:space="preserve">Force HTTPS for 1 year</w:t>
            </w:r>
          </w:p>
        </w:tc>
      </w:tr>
      <w:tr>
        <w:tc>
          <w:tcPr>
            <w:tcMar>
              <w:top w:type="dxa" w:w="80"/>
              <w:left w:type="dxa" w:w="80"/>
              <w:bottom w:type="dxa" w:w="80"/>
              <w:right w:type="dxa" w:w="80"/>
            </w:tcMar>
          </w:tcPr>
          <w:p>
            <w:r>
              <w:rPr>
                <w:rFonts w:ascii="Arial" w:cs="Arial" w:eastAsia="Arial" w:hAnsi="Arial"/>
                <w:color w:val="1E293B"/>
                <w:sz w:val="18"/>
                <w:szCs w:val="18"/>
              </w:rPr>
              <w:t xml:space="preserve">X-Content-Type-Options</w:t>
            </w:r>
          </w:p>
        </w:tc>
        <w:tc>
          <w:tcPr>
            <w:tcMar>
              <w:top w:type="dxa" w:w="80"/>
              <w:left w:type="dxa" w:w="80"/>
              <w:bottom w:type="dxa" w:w="80"/>
              <w:right w:type="dxa" w:w="80"/>
            </w:tcMar>
          </w:tcPr>
          <w:p>
            <w:r>
              <w:rPr>
                <w:rFonts w:ascii="Arial" w:cs="Arial" w:eastAsia="Arial" w:hAnsi="Arial"/>
                <w:color w:val="1E293B"/>
                <w:sz w:val="18"/>
                <w:szCs w:val="18"/>
              </w:rPr>
              <w:t xml:space="preserve">nosniff</w:t>
            </w:r>
          </w:p>
        </w:tc>
        <w:tc>
          <w:tcPr>
            <w:tcMar>
              <w:top w:type="dxa" w:w="80"/>
              <w:left w:type="dxa" w:w="80"/>
              <w:bottom w:type="dxa" w:w="80"/>
              <w:right w:type="dxa" w:w="80"/>
            </w:tcMar>
          </w:tcPr>
          <w:p>
            <w:r>
              <w:rPr>
                <w:rFonts w:ascii="Arial" w:cs="Arial" w:eastAsia="Arial" w:hAnsi="Arial"/>
                <w:color w:val="1E293B"/>
                <w:sz w:val="18"/>
                <w:szCs w:val="18"/>
              </w:rPr>
              <w:t xml:space="preserve">Prevent MIME sniffing</w:t>
            </w:r>
          </w:p>
        </w:tc>
      </w:tr>
      <w:tr>
        <w:tc>
          <w:tcPr>
            <w:tcMar>
              <w:top w:type="dxa" w:w="80"/>
              <w:left w:type="dxa" w:w="80"/>
              <w:bottom w:type="dxa" w:w="80"/>
              <w:right w:type="dxa" w:w="80"/>
            </w:tcMar>
          </w:tcPr>
          <w:p>
            <w:r>
              <w:rPr>
                <w:rFonts w:ascii="Arial" w:cs="Arial" w:eastAsia="Arial" w:hAnsi="Arial"/>
                <w:color w:val="1E293B"/>
                <w:sz w:val="18"/>
                <w:szCs w:val="18"/>
              </w:rPr>
              <w:t xml:space="preserve">X-Frame-Options</w:t>
            </w:r>
          </w:p>
        </w:tc>
        <w:tc>
          <w:tcPr>
            <w:tcMar>
              <w:top w:type="dxa" w:w="80"/>
              <w:left w:type="dxa" w:w="80"/>
              <w:bottom w:type="dxa" w:w="80"/>
              <w:right w:type="dxa" w:w="80"/>
            </w:tcMar>
          </w:tcPr>
          <w:p>
            <w:r>
              <w:rPr>
                <w:rFonts w:ascii="Arial" w:cs="Arial" w:eastAsia="Arial" w:hAnsi="Arial"/>
                <w:color w:val="1E293B"/>
                <w:sz w:val="18"/>
                <w:szCs w:val="18"/>
              </w:rPr>
              <w:t xml:space="preserve">DENY</w:t>
            </w:r>
          </w:p>
        </w:tc>
        <w:tc>
          <w:tcPr>
            <w:tcMar>
              <w:top w:type="dxa" w:w="80"/>
              <w:left w:type="dxa" w:w="80"/>
              <w:bottom w:type="dxa" w:w="80"/>
              <w:right w:type="dxa" w:w="80"/>
            </w:tcMar>
          </w:tcPr>
          <w:p>
            <w:r>
              <w:rPr>
                <w:rFonts w:ascii="Arial" w:cs="Arial" w:eastAsia="Arial" w:hAnsi="Arial"/>
                <w:color w:val="1E293B"/>
                <w:sz w:val="18"/>
                <w:szCs w:val="18"/>
              </w:rPr>
              <w:t xml:space="preserve">Block iframe embedding (clickjacking)</w:t>
            </w:r>
          </w:p>
        </w:tc>
      </w:tr>
      <w:tr>
        <w:tc>
          <w:tcPr>
            <w:tcMar>
              <w:top w:type="dxa" w:w="80"/>
              <w:left w:type="dxa" w:w="80"/>
              <w:bottom w:type="dxa" w:w="80"/>
              <w:right w:type="dxa" w:w="80"/>
            </w:tcMar>
          </w:tcPr>
          <w:p>
            <w:r>
              <w:rPr>
                <w:rFonts w:ascii="Arial" w:cs="Arial" w:eastAsia="Arial" w:hAnsi="Arial"/>
                <w:color w:val="1E293B"/>
                <w:sz w:val="18"/>
                <w:szCs w:val="18"/>
              </w:rPr>
              <w:t xml:space="preserve">X-XSS-Protection</w:t>
            </w:r>
          </w:p>
        </w:tc>
        <w:tc>
          <w:tcPr>
            <w:tcMar>
              <w:top w:type="dxa" w:w="80"/>
              <w:left w:type="dxa" w:w="80"/>
              <w:bottom w:type="dxa" w:w="80"/>
              <w:right w:type="dxa" w:w="80"/>
            </w:tcMar>
          </w:tcPr>
          <w:p>
            <w:r>
              <w:rPr>
                <w:rFonts w:ascii="Arial" w:cs="Arial" w:eastAsia="Arial" w:hAnsi="Arial"/>
                <w:color w:val="1E293B"/>
                <w:sz w:val="18"/>
                <w:szCs w:val="18"/>
              </w:rPr>
              <w:t xml:space="preserve">0</w:t>
            </w:r>
          </w:p>
        </w:tc>
        <w:tc>
          <w:tcPr>
            <w:tcMar>
              <w:top w:type="dxa" w:w="80"/>
              <w:left w:type="dxa" w:w="80"/>
              <w:bottom w:type="dxa" w:w="80"/>
              <w:right w:type="dxa" w:w="80"/>
            </w:tcMar>
          </w:tcPr>
          <w:p>
            <w:r>
              <w:rPr>
                <w:rFonts w:ascii="Arial" w:cs="Arial" w:eastAsia="Arial" w:hAnsi="Arial"/>
                <w:color w:val="1E293B"/>
                <w:sz w:val="18"/>
                <w:szCs w:val="18"/>
              </w:rPr>
              <w:t xml:space="preserve">Disable legacy XSS auditor (CSP preferred)</w:t>
            </w:r>
          </w:p>
        </w:tc>
      </w:tr>
      <w:tr>
        <w:tc>
          <w:tcPr>
            <w:tcMar>
              <w:top w:type="dxa" w:w="80"/>
              <w:left w:type="dxa" w:w="80"/>
              <w:bottom w:type="dxa" w:w="80"/>
              <w:right w:type="dxa" w:w="80"/>
            </w:tcMar>
          </w:tcPr>
          <w:p>
            <w:r>
              <w:rPr>
                <w:rFonts w:ascii="Arial" w:cs="Arial" w:eastAsia="Arial" w:hAnsi="Arial"/>
                <w:color w:val="1E293B"/>
                <w:sz w:val="18"/>
                <w:szCs w:val="18"/>
              </w:rPr>
              <w:t xml:space="preserve">Referrer-Policy</w:t>
            </w:r>
          </w:p>
        </w:tc>
        <w:tc>
          <w:tcPr>
            <w:tcMar>
              <w:top w:type="dxa" w:w="80"/>
              <w:left w:type="dxa" w:w="80"/>
              <w:bottom w:type="dxa" w:w="80"/>
              <w:right w:type="dxa" w:w="80"/>
            </w:tcMar>
          </w:tcPr>
          <w:p>
            <w:r>
              <w:rPr>
                <w:rFonts w:ascii="Arial" w:cs="Arial" w:eastAsia="Arial" w:hAnsi="Arial"/>
                <w:color w:val="1E293B"/>
                <w:sz w:val="18"/>
                <w:szCs w:val="18"/>
              </w:rPr>
              <w:t xml:space="preserve">no-referrer</w:t>
            </w:r>
          </w:p>
        </w:tc>
        <w:tc>
          <w:tcPr>
            <w:tcMar>
              <w:top w:type="dxa" w:w="80"/>
              <w:left w:type="dxa" w:w="80"/>
              <w:bottom w:type="dxa" w:w="80"/>
              <w:right w:type="dxa" w:w="80"/>
            </w:tcMar>
          </w:tcPr>
          <w:p>
            <w:r>
              <w:rPr>
                <w:rFonts w:ascii="Arial" w:cs="Arial" w:eastAsia="Arial" w:hAnsi="Arial"/>
                <w:color w:val="1E293B"/>
                <w:sz w:val="18"/>
                <w:szCs w:val="18"/>
              </w:rPr>
              <w:t xml:space="preserve">Prevent referrer header leakage</w:t>
            </w:r>
          </w:p>
        </w:tc>
      </w:tr>
      <w:tr>
        <w:tc>
          <w:tcPr>
            <w:tcMar>
              <w:top w:type="dxa" w:w="80"/>
              <w:left w:type="dxa" w:w="80"/>
              <w:bottom w:type="dxa" w:w="80"/>
              <w:right w:type="dxa" w:w="80"/>
            </w:tcMar>
          </w:tcPr>
          <w:p>
            <w:r>
              <w:rPr>
                <w:rFonts w:ascii="Arial" w:cs="Arial" w:eastAsia="Arial" w:hAnsi="Arial"/>
                <w:color w:val="1E293B"/>
                <w:sz w:val="18"/>
                <w:szCs w:val="18"/>
              </w:rPr>
              <w:t xml:space="preserve">Content-Security-Policy</w:t>
            </w:r>
          </w:p>
        </w:tc>
        <w:tc>
          <w:tcPr>
            <w:tcMar>
              <w:top w:type="dxa" w:w="80"/>
              <w:left w:type="dxa" w:w="80"/>
              <w:bottom w:type="dxa" w:w="80"/>
              <w:right w:type="dxa" w:w="80"/>
            </w:tcMar>
          </w:tcPr>
          <w:p>
            <w:r>
              <w:rPr>
                <w:rFonts w:ascii="Arial" w:cs="Arial" w:eastAsia="Arial" w:hAnsi="Arial"/>
                <w:color w:val="1E293B"/>
                <w:sz w:val="18"/>
                <w:szCs w:val="18"/>
              </w:rPr>
              <w:t xml:space="preserve">default-src 'self'; object-src 'none'</w:t>
            </w:r>
          </w:p>
        </w:tc>
        <w:tc>
          <w:tcPr>
            <w:tcMar>
              <w:top w:type="dxa" w:w="80"/>
              <w:left w:type="dxa" w:w="80"/>
              <w:bottom w:type="dxa" w:w="80"/>
              <w:right w:type="dxa" w:w="80"/>
            </w:tcMar>
          </w:tcPr>
          <w:p>
            <w:r>
              <w:rPr>
                <w:rFonts w:ascii="Arial" w:cs="Arial" w:eastAsia="Arial" w:hAnsi="Arial"/>
                <w:color w:val="1E293B"/>
                <w:sz w:val="18"/>
                <w:szCs w:val="18"/>
              </w:rPr>
              <w:t xml:space="preserve">XSS amplification defence</w:t>
            </w:r>
          </w:p>
        </w:tc>
      </w:tr>
      <w:tr>
        <w:tc>
          <w:tcPr>
            <w:tcMar>
              <w:top w:type="dxa" w:w="80"/>
              <w:left w:type="dxa" w:w="80"/>
              <w:bottom w:type="dxa" w:w="80"/>
              <w:right w:type="dxa" w:w="80"/>
            </w:tcMar>
          </w:tcPr>
          <w:p>
            <w:r>
              <w:rPr>
                <w:rFonts w:ascii="Arial" w:cs="Arial" w:eastAsia="Arial" w:hAnsi="Arial"/>
                <w:color w:val="1E293B"/>
                <w:sz w:val="18"/>
                <w:szCs w:val="18"/>
              </w:rPr>
              <w:t xml:space="preserve">Permissions-Policy</w:t>
            </w:r>
          </w:p>
        </w:tc>
        <w:tc>
          <w:tcPr>
            <w:tcMar>
              <w:top w:type="dxa" w:w="80"/>
              <w:left w:type="dxa" w:w="80"/>
              <w:bottom w:type="dxa" w:w="80"/>
              <w:right w:type="dxa" w:w="80"/>
            </w:tcMar>
          </w:tcPr>
          <w:p>
            <w:r>
              <w:rPr>
                <w:rFonts w:ascii="Arial" w:cs="Arial" w:eastAsia="Arial" w:hAnsi="Arial"/>
                <w:color w:val="1E293B"/>
                <w:sz w:val="18"/>
                <w:szCs w:val="18"/>
              </w:rPr>
              <w:t xml:space="preserve">geolocation=(), camera=(), payment=()</w:t>
            </w:r>
          </w:p>
        </w:tc>
        <w:tc>
          <w:tcPr>
            <w:tcMar>
              <w:top w:type="dxa" w:w="80"/>
              <w:left w:type="dxa" w:w="80"/>
              <w:bottom w:type="dxa" w:w="80"/>
              <w:right w:type="dxa" w:w="80"/>
            </w:tcMar>
          </w:tcPr>
          <w:p>
            <w:r>
              <w:rPr>
                <w:rFonts w:ascii="Arial" w:cs="Arial" w:eastAsia="Arial" w:hAnsi="Arial"/>
                <w:color w:val="1E293B"/>
                <w:sz w:val="18"/>
                <w:szCs w:val="18"/>
              </w:rPr>
              <w:t xml:space="preserve">Restrict browser features</w:t>
            </w:r>
          </w:p>
        </w:tc>
      </w:tr>
      <w:tr>
        <w:tc>
          <w:tcPr>
            <w:tcMar>
              <w:top w:type="dxa" w:w="80"/>
              <w:left w:type="dxa" w:w="80"/>
              <w:bottom w:type="dxa" w:w="80"/>
              <w:right w:type="dxa" w:w="80"/>
            </w:tcMar>
          </w:tcPr>
          <w:p>
            <w:r>
              <w:rPr>
                <w:rFonts w:ascii="Arial" w:cs="Arial" w:eastAsia="Arial" w:hAnsi="Arial"/>
                <w:color w:val="1E293B"/>
                <w:sz w:val="18"/>
                <w:szCs w:val="18"/>
              </w:rPr>
              <w:t xml:space="preserve">Cross-Origin-Opener-Policy</w:t>
            </w:r>
          </w:p>
        </w:tc>
        <w:tc>
          <w:tcPr>
            <w:tcMar>
              <w:top w:type="dxa" w:w="80"/>
              <w:left w:type="dxa" w:w="80"/>
              <w:bottom w:type="dxa" w:w="80"/>
              <w:right w:type="dxa" w:w="80"/>
            </w:tcMar>
          </w:tcPr>
          <w:p>
            <w:r>
              <w:rPr>
                <w:rFonts w:ascii="Arial" w:cs="Arial" w:eastAsia="Arial" w:hAnsi="Arial"/>
                <w:color w:val="1E293B"/>
                <w:sz w:val="18"/>
                <w:szCs w:val="18"/>
              </w:rPr>
              <w:t xml:space="preserve">same-origin</w:t>
            </w:r>
          </w:p>
        </w:tc>
        <w:tc>
          <w:tcPr>
            <w:tcMar>
              <w:top w:type="dxa" w:w="80"/>
              <w:left w:type="dxa" w:w="80"/>
              <w:bottom w:type="dxa" w:w="80"/>
              <w:right w:type="dxa" w:w="80"/>
            </w:tcMar>
          </w:tcPr>
          <w:p>
            <w:r>
              <w:rPr>
                <w:rFonts w:ascii="Arial" w:cs="Arial" w:eastAsia="Arial" w:hAnsi="Arial"/>
                <w:color w:val="1E293B"/>
                <w:sz w:val="18"/>
                <w:szCs w:val="18"/>
              </w:rPr>
              <w:t xml:space="preserve">Spectre side-channel isolation</w:t>
            </w:r>
          </w:p>
        </w:tc>
      </w:tr>
    </w:tbl>
    <w:p>
      <w:pPr>
        <w:pBdr>
          <w:bottom w:val="single" w:color="1A3A5C" w:sz="4"/>
        </w:pBdr>
        <w:spacing w:after="120" w:before="320"/>
      </w:pPr>
      <w:r>
        <w:rPr>
          <w:rFonts w:ascii="Arial" w:cs="Arial" w:eastAsia="Arial" w:hAnsi="Arial"/>
          <w:b/>
          <w:bCs/>
          <w:color w:val="1A3A5C"/>
          <w:sz w:val="28"/>
          <w:szCs w:val="28"/>
        </w:rPr>
        <w:t xml:space="preserve">4. Network Security</w:t>
      </w:r>
    </w:p>
    <w:p>
      <w:pPr>
        <w:pStyle w:val="ListParagraph"/>
        <w:numPr>
          <w:ilvl w:val="0"/>
          <w:numId w:val="1"/>
        </w:numPr>
        <w:spacing w:after="60" w:before="60"/>
      </w:pPr>
      <w:r>
        <w:rPr>
          <w:rFonts w:ascii="Arial" w:cs="Arial" w:eastAsia="Arial" w:hAnsi="Arial"/>
          <w:color w:val="1E293B"/>
          <w:sz w:val="21"/>
          <w:szCs w:val="21"/>
        </w:rPr>
        <w:t xml:space="preserve">Azure App Service is configured with IP restrictions to deny direct public access to management ports</w:t>
      </w:r>
    </w:p>
    <w:p>
      <w:pPr>
        <w:pStyle w:val="ListParagraph"/>
        <w:numPr>
          <w:ilvl w:val="0"/>
          <w:numId w:val="1"/>
        </w:numPr>
        <w:spacing w:after="60" w:before="60"/>
      </w:pPr>
      <w:r>
        <w:rPr>
          <w:rFonts w:ascii="Arial" w:cs="Arial" w:eastAsia="Arial" w:hAnsi="Arial"/>
          <w:color w:val="1E293B"/>
          <w:sz w:val="21"/>
          <w:szCs w:val="21"/>
        </w:rPr>
        <w:t xml:space="preserve">Database connectivity uses private endpoints — no public internet access to Azure SQL</w:t>
      </w:r>
    </w:p>
    <w:p>
      <w:pPr>
        <w:pStyle w:val="ListParagraph"/>
        <w:numPr>
          <w:ilvl w:val="0"/>
          <w:numId w:val="1"/>
        </w:numPr>
        <w:spacing w:after="60" w:before="60"/>
      </w:pPr>
      <w:r>
        <w:rPr>
          <w:rFonts w:ascii="Arial" w:cs="Arial" w:eastAsia="Arial" w:hAnsi="Arial"/>
          <w:color w:val="1E293B"/>
          <w:sz w:val="21"/>
          <w:szCs w:val="21"/>
        </w:rPr>
        <w:t xml:space="preserve">Azure Key Vault access is restricted to the App Service managed identity via RBAC</w:t>
      </w:r>
    </w:p>
    <w:p>
      <w:pPr>
        <w:pStyle w:val="ListParagraph"/>
        <w:numPr>
          <w:ilvl w:val="0"/>
          <w:numId w:val="1"/>
        </w:numPr>
        <w:spacing w:after="60" w:before="60"/>
      </w:pPr>
      <w:r>
        <w:rPr>
          <w:rFonts w:ascii="Arial" w:cs="Arial" w:eastAsia="Arial" w:hAnsi="Arial"/>
          <w:color w:val="1E293B"/>
          <w:sz w:val="21"/>
          <w:szCs w:val="21"/>
        </w:rPr>
        <w:t xml:space="preserve">Outbound network traffic is filtered through Azure firewall policies</w:t>
      </w:r>
    </w:p>
    <w:p>
      <w:pPr>
        <w:pStyle w:val="ListParagraph"/>
        <w:numPr>
          <w:ilvl w:val="0"/>
          <w:numId w:val="1"/>
        </w:numPr>
        <w:spacing w:after="60" w:before="60"/>
      </w:pPr>
      <w:r>
        <w:rPr>
          <w:rFonts w:ascii="Arial" w:cs="Arial" w:eastAsia="Arial" w:hAnsi="Arial"/>
          <w:color w:val="1E293B"/>
          <w:sz w:val="21"/>
          <w:szCs w:val="21"/>
        </w:rPr>
        <w:t xml:space="preserve">DDoS Protection Standard is enabled at the virtual network level</w:t>
      </w:r>
    </w:p>
    <w:p>
      <w:pPr>
        <w:pBdr>
          <w:bottom w:val="single" w:color="1A3A5C" w:sz="4"/>
        </w:pBdr>
        <w:spacing w:after="120" w:before="320"/>
      </w:pPr>
      <w:r>
        <w:rPr>
          <w:rFonts w:ascii="Arial" w:cs="Arial" w:eastAsia="Arial" w:hAnsi="Arial"/>
          <w:b/>
          <w:bCs/>
          <w:color w:val="1A3A5C"/>
          <w:sz w:val="28"/>
          <w:szCs w:val="28"/>
        </w:rPr>
        <w:t xml:space="preserve">5. Access Control</w:t>
      </w:r>
    </w:p>
    <w:p>
      <w:pPr>
        <w:pStyle w:val="ListParagraph"/>
        <w:numPr>
          <w:ilvl w:val="0"/>
          <w:numId w:val="1"/>
        </w:numPr>
        <w:spacing w:after="60" w:before="60"/>
      </w:pPr>
      <w:r>
        <w:rPr>
          <w:rFonts w:ascii="Arial" w:cs="Arial" w:eastAsia="Arial" w:hAnsi="Arial"/>
          <w:color w:val="1E293B"/>
          <w:sz w:val="21"/>
          <w:szCs w:val="21"/>
        </w:rPr>
        <w:t xml:space="preserve">All production systems require MFA for administrative access</w:t>
      </w:r>
    </w:p>
    <w:p>
      <w:pPr>
        <w:pStyle w:val="ListParagraph"/>
        <w:numPr>
          <w:ilvl w:val="0"/>
          <w:numId w:val="1"/>
        </w:numPr>
        <w:spacing w:after="60" w:before="60"/>
      </w:pPr>
      <w:r>
        <w:rPr>
          <w:rFonts w:ascii="Arial" w:cs="Arial" w:eastAsia="Arial" w:hAnsi="Arial"/>
          <w:color w:val="1E293B"/>
          <w:sz w:val="21"/>
          <w:szCs w:val="21"/>
        </w:rPr>
        <w:t xml:space="preserve">Just-in-time (JIT) VM access is enabled where applicable</w:t>
      </w:r>
    </w:p>
    <w:p>
      <w:pPr>
        <w:pStyle w:val="ListParagraph"/>
        <w:numPr>
          <w:ilvl w:val="0"/>
          <w:numId w:val="1"/>
        </w:numPr>
        <w:spacing w:after="60" w:before="60"/>
      </w:pPr>
      <w:r>
        <w:rPr>
          <w:rFonts w:ascii="Arial" w:cs="Arial" w:eastAsia="Arial" w:hAnsi="Arial"/>
          <w:color w:val="1E293B"/>
          <w:sz w:val="21"/>
          <w:szCs w:val="21"/>
        </w:rPr>
        <w:t xml:space="preserve">Service accounts use managed identities — no credential rotation required</w:t>
      </w:r>
    </w:p>
    <w:p>
      <w:pPr>
        <w:pStyle w:val="ListParagraph"/>
        <w:numPr>
          <w:ilvl w:val="0"/>
          <w:numId w:val="1"/>
        </w:numPr>
        <w:spacing w:after="60" w:before="60"/>
      </w:pPr>
      <w:r>
        <w:rPr>
          <w:rFonts w:ascii="Arial" w:cs="Arial" w:eastAsia="Arial" w:hAnsi="Arial"/>
          <w:color w:val="1E293B"/>
          <w:sz w:val="21"/>
          <w:szCs w:val="21"/>
        </w:rPr>
        <w:t xml:space="preserve">Azure RBAC is used with least-privilege roles for all service and user access</w:t>
      </w:r>
    </w:p>
    <w:p>
      <w:pPr>
        <w:pStyle w:val="ListParagraph"/>
        <w:numPr>
          <w:ilvl w:val="0"/>
          <w:numId w:val="1"/>
        </w:numPr>
        <w:spacing w:after="60" w:before="60"/>
      </w:pPr>
      <w:r>
        <w:rPr>
          <w:rFonts w:ascii="Arial" w:cs="Arial" w:eastAsia="Arial" w:hAnsi="Arial"/>
          <w:color w:val="1E293B"/>
          <w:sz w:val="21"/>
          <w:szCs w:val="21"/>
        </w:rPr>
        <w:t xml:space="preserve">Privileged access is audited via Azure Monitor and reviewed quarterly</w:t>
      </w:r>
    </w:p>
    <w:p>
      <w:pPr>
        <w:pBdr>
          <w:bottom w:val="single" w:color="1A3A5C" w:sz="4"/>
        </w:pBdr>
        <w:spacing w:after="120" w:before="320"/>
      </w:pPr>
      <w:r>
        <w:rPr>
          <w:rFonts w:ascii="Arial" w:cs="Arial" w:eastAsia="Arial" w:hAnsi="Arial"/>
          <w:b/>
          <w:bCs/>
          <w:color w:val="1A3A5C"/>
          <w:sz w:val="28"/>
          <w:szCs w:val="28"/>
        </w:rPr>
        <w:t xml:space="preserve">6. Monitoring and Patch Management</w:t>
      </w:r>
    </w:p>
    <w:p>
      <w:pPr>
        <w:pStyle w:val="ListParagraph"/>
        <w:numPr>
          <w:ilvl w:val="0"/>
          <w:numId w:val="1"/>
        </w:numPr>
        <w:spacing w:after="60" w:before="60"/>
      </w:pPr>
      <w:r>
        <w:rPr>
          <w:rFonts w:ascii="Arial" w:cs="Arial" w:eastAsia="Arial" w:hAnsi="Arial"/>
          <w:color w:val="1E293B"/>
          <w:sz w:val="21"/>
          <w:szCs w:val="21"/>
        </w:rPr>
        <w:t xml:space="preserve">Microsoft Defender for Cloud monitors security posture and compliance</w:t>
      </w:r>
    </w:p>
    <w:p>
      <w:pPr>
        <w:pStyle w:val="ListParagraph"/>
        <w:numPr>
          <w:ilvl w:val="0"/>
          <w:numId w:val="1"/>
        </w:numPr>
        <w:spacing w:after="60" w:before="60"/>
      </w:pPr>
      <w:r>
        <w:rPr>
          <w:rFonts w:ascii="Arial" w:cs="Arial" w:eastAsia="Arial" w:hAnsi="Arial"/>
          <w:color w:val="1E293B"/>
          <w:sz w:val="21"/>
          <w:szCs w:val="21"/>
        </w:rPr>
        <w:t xml:space="preserve">Application Insights provides APM, error tracking, and anomaly detection</w:t>
      </w:r>
    </w:p>
    <w:p>
      <w:pPr>
        <w:pStyle w:val="ListParagraph"/>
        <w:numPr>
          <w:ilvl w:val="0"/>
          <w:numId w:val="1"/>
        </w:numPr>
        <w:spacing w:after="60" w:before="60"/>
      </w:pPr>
      <w:r>
        <w:rPr>
          <w:rFonts w:ascii="Arial" w:cs="Arial" w:eastAsia="Arial" w:hAnsi="Arial"/>
          <w:color w:val="1E293B"/>
          <w:sz w:val="21"/>
          <w:szCs w:val="21"/>
        </w:rPr>
        <w:t xml:space="preserve">Azure App Service automatically applies OS-level patches (managed platform)</w:t>
      </w:r>
    </w:p>
    <w:p>
      <w:pPr>
        <w:pStyle w:val="ListParagraph"/>
        <w:numPr>
          <w:ilvl w:val="0"/>
          <w:numId w:val="1"/>
        </w:numPr>
        <w:spacing w:after="60" w:before="60"/>
      </w:pPr>
      <w:r>
        <w:rPr>
          <w:rFonts w:ascii="Arial" w:cs="Arial" w:eastAsia="Arial" w:hAnsi="Arial"/>
          <w:color w:val="1E293B"/>
          <w:sz w:val="21"/>
          <w:szCs w:val="21"/>
        </w:rPr>
        <w:t xml:space="preserve">Application dependencies are scanned weekly; high-severity CVEs patched within 7 days</w:t>
      </w:r>
    </w:p>
    <w:p>
      <w:pPr>
        <w:pStyle w:val="ListParagraph"/>
        <w:numPr>
          <w:ilvl w:val="0"/>
          <w:numId w:val="1"/>
        </w:numPr>
        <w:spacing w:after="60" w:before="60"/>
      </w:pPr>
      <w:r>
        <w:rPr>
          <w:rFonts w:ascii="Arial" w:cs="Arial" w:eastAsia="Arial" w:hAnsi="Arial"/>
          <w:color w:val="1E293B"/>
          <w:sz w:val="21"/>
          <w:szCs w:val="21"/>
        </w:rPr>
        <w:t xml:space="preserve">Security alerts trigger automated incident tickets within 5 minutes</w:t>
      </w:r>
    </w:p>
    <w:sectPr>
      <w:headerReference w:type="default" r:id="rId7"/>
      <w:footerReference w:type="default" r:id="rId8"/>
      <w:pgSz w:w="11906" w:h="16838"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2"/>
      </w:pBdr>
    </w:pPr>
    <w:r>
      <w:rPr>
        <w:rFonts w:ascii="Arial" w:cs="Arial" w:eastAsia="Arial" w:hAnsi="Arial"/>
        <w:color w:val="64748B"/>
        <w:sz w:val="16"/>
        <w:szCs w:val="16"/>
      </w:rPr>
      <w:t xml:space="preserve">Confidential – Altnetix LLC  |  https://vitaai.altnetix.com</w:t>
    </w:r>
    <w:r>
      <w:rPr>
        <w:rFonts w:ascii="Arial" w:cs="Arial" w:eastAsia="Arial" w:hAnsi="Arial"/>
        <w:color w:val="64748B"/>
        <w:sz w:val="16"/>
        <w:szCs w:val="16"/>
      </w:rPr>
      <w:t xml:space="preserve">    Version 1.0  |  Effective June 1,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3A5C" w:sz="4"/>
      </w:pBdr>
    </w:pPr>
    <w:r>
      <w:rPr>
        <w:rFonts w:ascii="Arial" w:cs="Arial" w:eastAsia="Arial" w:hAnsi="Arial"/>
        <w:b/>
        <w:bCs/>
        <w:color w:val="1A3A5C"/>
        <w:sz w:val="18"/>
        <w:szCs w:val="18"/>
      </w:rPr>
      <w:t xml:space="preserve">Altnetix LLC  |  VitaAI</w:t>
    </w:r>
    <w:r>
      <w:rPr>
        <w:rFonts w:ascii="Arial" w:cs="Arial" w:eastAsia="Arial" w:hAnsi="Arial"/>
        <w:color w:val="64748B"/>
        <w:sz w:val="18"/>
        <w:szCs w:val="18"/>
      </w:rPr>
      <w:t xml:space="preserve">    Host Hardening Documentation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Host Hardening Documentation</dc:title>
  <dc:creator>Altnetix LLC</dc:creator>
  <dc:description>Documents infrastructure hardening controls applied to VitaAI's Azure-hosted environments.</dc:description>
  <cp:lastModifiedBy>Un-named</cp:lastModifiedBy>
  <cp:revision>1</cp:revision>
  <dcterms:created xsi:type="dcterms:W3CDTF">2026-06-09T16:58:18.833Z</dcterms:created>
  <dcterms:modified xsi:type="dcterms:W3CDTF">2026-06-09T16:58:18.833Z</dcterms:modified>
</cp:coreProperties>
</file>

<file path=docProps/custom.xml><?xml version="1.0" encoding="utf-8"?>
<Properties xmlns="http://schemas.openxmlformats.org/officeDocument/2006/custom-properties" xmlns:vt="http://schemas.openxmlformats.org/officeDocument/2006/docPropsVTypes"/>
</file>