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SECURITY EVENT LOGGING POLICY</w:t>
      </w:r>
    </w:p>
    <w:p>
      <w:pPr>
        <w:shd w:fill="1E4D8C" w:val="clear"/>
        <w:spacing w:after="48" w:before="0"/>
        <w:jc w:val="center"/>
      </w:pPr>
      <w:r>
        <w:rPr>
          <w:rFonts w:ascii="Arial" w:cs="Arial" w:eastAsia="Arial" w:hAnsi="Arial"/>
          <w:color w:val="FFFFFF"/>
          <w:sz w:val="22"/>
          <w:szCs w:val="22"/>
        </w:rPr>
        <w:t xml:space="preserve">Audit Logging, Monitoring, and Alerting Standards</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LOG-4</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Purpose and Legal Basis</w:t>
      </w:r>
    </w:p>
    <w:p>
      <w:pPr>
        <w:spacing w:after="100" w:before="80"/>
      </w:pPr>
      <w:r>
        <w:rPr>
          <w:rFonts w:ascii="Arial" w:cs="Arial" w:eastAsia="Arial" w:hAnsi="Arial"/>
          <w:color w:val="1E293B"/>
          <w:sz w:val="21"/>
          <w:szCs w:val="21"/>
        </w:rPr>
        <w:t xml:space="preserve">This Policy establishes requirements for security event logging across all VitaAI platform components. Comprehensive audit logging is required by HIPAA §164.312(b) (Audit Controls) and supports rapid detection, investigation, and response to security incidents.</w:t>
      </w:r>
    </w:p>
    <w:p>
      <w:pPr>
        <w:pBdr>
          <w:bottom w:val="single" w:color="1A3A5C" w:sz="4"/>
        </w:pBdr>
        <w:spacing w:after="120" w:before="320"/>
      </w:pPr>
      <w:r>
        <w:rPr>
          <w:rFonts w:ascii="Arial" w:cs="Arial" w:eastAsia="Arial" w:hAnsi="Arial"/>
          <w:b/>
          <w:bCs/>
          <w:color w:val="1A3A5C"/>
          <w:sz w:val="28"/>
          <w:szCs w:val="28"/>
        </w:rPr>
        <w:t xml:space="preserve">2. Log Sources and Events</w:t>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gridCol w:w="100"/>
        <w:gridCol w:w="100"/>
      </w:tblGrid>
      <w:tr>
        <w:trPr>
          <w:tblHeader/>
        </w:trPr>
        <w:tc>
          <w:tcPr>
            <w:shd w:fill="1A3A5C" w:val="clear"/>
          </w:tcPr>
          <w:p>
            <w:r>
              <w:rPr>
                <w:rFonts w:ascii="Arial" w:cs="Arial" w:eastAsia="Arial" w:hAnsi="Arial"/>
                <w:b/>
                <w:bCs/>
                <w:color w:val="FFFFFF"/>
                <w:sz w:val="18"/>
                <w:szCs w:val="18"/>
              </w:rPr>
              <w:t xml:space="preserve">Log Source</w:t>
            </w:r>
          </w:p>
        </w:tc>
        <w:tc>
          <w:tcPr>
            <w:shd w:fill="1A3A5C" w:val="clear"/>
          </w:tcPr>
          <w:p>
            <w:r>
              <w:rPr>
                <w:rFonts w:ascii="Arial" w:cs="Arial" w:eastAsia="Arial" w:hAnsi="Arial"/>
                <w:b/>
                <w:bCs/>
                <w:color w:val="FFFFFF"/>
                <w:sz w:val="18"/>
                <w:szCs w:val="18"/>
              </w:rPr>
              <w:t xml:space="preserve">Events Captured</w:t>
            </w:r>
          </w:p>
        </w:tc>
        <w:tc>
          <w:tcPr>
            <w:shd w:fill="1A3A5C" w:val="clear"/>
          </w:tcPr>
          <w:p>
            <w:r>
              <w:rPr>
                <w:rFonts w:ascii="Arial" w:cs="Arial" w:eastAsia="Arial" w:hAnsi="Arial"/>
                <w:b/>
                <w:bCs/>
                <w:color w:val="FFFFFF"/>
                <w:sz w:val="18"/>
                <w:szCs w:val="18"/>
              </w:rPr>
              <w:t xml:space="preserve">Retention</w:t>
            </w:r>
          </w:p>
        </w:tc>
        <w:tc>
          <w:tcPr>
            <w:shd w:fill="1A3A5C" w:val="clear"/>
          </w:tcPr>
          <w:p>
            <w:r>
              <w:rPr>
                <w:rFonts w:ascii="Arial" w:cs="Arial" w:eastAsia="Arial" w:hAnsi="Arial"/>
                <w:b/>
                <w:bCs/>
                <w:color w:val="FFFFFF"/>
                <w:sz w:val="18"/>
                <w:szCs w:val="18"/>
              </w:rPr>
              <w:t xml:space="preserve">Storage</w:t>
            </w:r>
          </w:p>
        </w:tc>
      </w:tr>
      <w:tr>
        <w:tc>
          <w:tcPr>
            <w:tcMar>
              <w:top w:type="dxa" w:w="80"/>
              <w:left w:type="dxa" w:w="80"/>
              <w:bottom w:type="dxa" w:w="80"/>
              <w:right w:type="dxa" w:w="80"/>
            </w:tcMar>
          </w:tcPr>
          <w:p>
            <w:r>
              <w:rPr>
                <w:rFonts w:ascii="Arial" w:cs="Arial" w:eastAsia="Arial" w:hAnsi="Arial"/>
                <w:color w:val="1E293B"/>
                <w:sz w:val="18"/>
                <w:szCs w:val="18"/>
              </w:rPr>
              <w:t xml:space="preserve">VitaAI Audit Middleware</w:t>
            </w:r>
          </w:p>
        </w:tc>
        <w:tc>
          <w:tcPr>
            <w:tcMar>
              <w:top w:type="dxa" w:w="80"/>
              <w:left w:type="dxa" w:w="80"/>
              <w:bottom w:type="dxa" w:w="80"/>
              <w:right w:type="dxa" w:w="80"/>
            </w:tcMar>
          </w:tcPr>
          <w:p>
            <w:r>
              <w:rPr>
                <w:rFonts w:ascii="Arial" w:cs="Arial" w:eastAsia="Arial" w:hAnsi="Arial"/>
                <w:color w:val="1E293B"/>
                <w:sz w:val="18"/>
                <w:szCs w:val="18"/>
              </w:rPr>
              <w:t xml:space="preserve">All PHI access, create, update, delete events with user, timestamp, IP</w:t>
            </w:r>
          </w:p>
        </w:tc>
        <w:tc>
          <w:tcPr>
            <w:tcMar>
              <w:top w:type="dxa" w:w="80"/>
              <w:left w:type="dxa" w:w="80"/>
              <w:bottom w:type="dxa" w:w="80"/>
              <w:right w:type="dxa" w:w="80"/>
            </w:tcMar>
          </w:tcPr>
          <w:p>
            <w:r>
              <w:rPr>
                <w:rFonts w:ascii="Arial" w:cs="Arial" w:eastAsia="Arial" w:hAnsi="Arial"/>
                <w:color w:val="1E293B"/>
                <w:sz w:val="18"/>
                <w:szCs w:val="18"/>
              </w:rPr>
              <w:t xml:space="preserve">6 years</w:t>
            </w:r>
          </w:p>
        </w:tc>
        <w:tc>
          <w:tcPr>
            <w:tcMar>
              <w:top w:type="dxa" w:w="80"/>
              <w:left w:type="dxa" w:w="80"/>
              <w:bottom w:type="dxa" w:w="80"/>
              <w:right w:type="dxa" w:w="80"/>
            </w:tcMar>
          </w:tcPr>
          <w:p>
            <w:r>
              <w:rPr>
                <w:rFonts w:ascii="Arial" w:cs="Arial" w:eastAsia="Arial" w:hAnsi="Arial"/>
                <w:color w:val="1E293B"/>
                <w:sz w:val="18"/>
                <w:szCs w:val="18"/>
              </w:rPr>
              <w:t xml:space="preserve">Azure Blob (WORM)</w:t>
            </w:r>
          </w:p>
        </w:tc>
      </w:tr>
      <w:tr>
        <w:tc>
          <w:tcPr>
            <w:tcMar>
              <w:top w:type="dxa" w:w="80"/>
              <w:left w:type="dxa" w:w="80"/>
              <w:bottom w:type="dxa" w:w="80"/>
              <w:right w:type="dxa" w:w="80"/>
            </w:tcMar>
          </w:tcPr>
          <w:p>
            <w:r>
              <w:rPr>
                <w:rFonts w:ascii="Arial" w:cs="Arial" w:eastAsia="Arial" w:hAnsi="Arial"/>
                <w:color w:val="1E293B"/>
                <w:sz w:val="18"/>
                <w:szCs w:val="18"/>
              </w:rPr>
              <w:t xml:space="preserve">Authentication Logs</w:t>
            </w:r>
          </w:p>
        </w:tc>
        <w:tc>
          <w:tcPr>
            <w:tcMar>
              <w:top w:type="dxa" w:w="80"/>
              <w:left w:type="dxa" w:w="80"/>
              <w:bottom w:type="dxa" w:w="80"/>
              <w:right w:type="dxa" w:w="80"/>
            </w:tcMar>
          </w:tcPr>
          <w:p>
            <w:r>
              <w:rPr>
                <w:rFonts w:ascii="Arial" w:cs="Arial" w:eastAsia="Arial" w:hAnsi="Arial"/>
                <w:color w:val="1E293B"/>
                <w:sz w:val="18"/>
                <w:szCs w:val="18"/>
              </w:rPr>
              <w:t xml:space="preserve">Login success/failure, MFA events, token issuance, session activity</w:t>
            </w:r>
          </w:p>
        </w:tc>
        <w:tc>
          <w:tcPr>
            <w:tcMar>
              <w:top w:type="dxa" w:w="80"/>
              <w:left w:type="dxa" w:w="80"/>
              <w:bottom w:type="dxa" w:w="80"/>
              <w:right w:type="dxa" w:w="80"/>
            </w:tcMar>
          </w:tcPr>
          <w:p>
            <w:r>
              <w:rPr>
                <w:rFonts w:ascii="Arial" w:cs="Arial" w:eastAsia="Arial" w:hAnsi="Arial"/>
                <w:color w:val="1E293B"/>
                <w:sz w:val="18"/>
                <w:szCs w:val="18"/>
              </w:rPr>
              <w:t xml:space="preserve">6 years</w:t>
            </w:r>
          </w:p>
        </w:tc>
        <w:tc>
          <w:tcPr>
            <w:tcMar>
              <w:top w:type="dxa" w:w="80"/>
              <w:left w:type="dxa" w:w="80"/>
              <w:bottom w:type="dxa" w:w="80"/>
              <w:right w:type="dxa" w:w="80"/>
            </w:tcMar>
          </w:tcPr>
          <w:p>
            <w:r>
              <w:rPr>
                <w:rFonts w:ascii="Arial" w:cs="Arial" w:eastAsia="Arial" w:hAnsi="Arial"/>
                <w:color w:val="1E293B"/>
                <w:sz w:val="18"/>
                <w:szCs w:val="18"/>
              </w:rPr>
              <w:t xml:space="preserve">Azure Blob + SQL hot cache</w:t>
            </w:r>
          </w:p>
        </w:tc>
      </w:tr>
      <w:tr>
        <w:tc>
          <w:tcPr>
            <w:tcMar>
              <w:top w:type="dxa" w:w="80"/>
              <w:left w:type="dxa" w:w="80"/>
              <w:bottom w:type="dxa" w:w="80"/>
              <w:right w:type="dxa" w:w="80"/>
            </w:tcMar>
          </w:tcPr>
          <w:p>
            <w:r>
              <w:rPr>
                <w:rFonts w:ascii="Arial" w:cs="Arial" w:eastAsia="Arial" w:hAnsi="Arial"/>
                <w:color w:val="1E293B"/>
                <w:sz w:val="18"/>
                <w:szCs w:val="18"/>
              </w:rPr>
              <w:t xml:space="preserve">API Request Logs</w:t>
            </w:r>
          </w:p>
        </w:tc>
        <w:tc>
          <w:tcPr>
            <w:tcMar>
              <w:top w:type="dxa" w:w="80"/>
              <w:left w:type="dxa" w:w="80"/>
              <w:bottom w:type="dxa" w:w="80"/>
              <w:right w:type="dxa" w:w="80"/>
            </w:tcMar>
          </w:tcPr>
          <w:p>
            <w:r>
              <w:rPr>
                <w:rFonts w:ascii="Arial" w:cs="Arial" w:eastAsia="Arial" w:hAnsi="Arial"/>
                <w:color w:val="1E293B"/>
                <w:sz w:val="18"/>
                <w:szCs w:val="18"/>
              </w:rPr>
              <w:t xml:space="preserve">All API calls with path, method, user, response code, correlation ID</w:t>
            </w:r>
          </w:p>
        </w:tc>
        <w:tc>
          <w:tcPr>
            <w:tcMar>
              <w:top w:type="dxa" w:w="80"/>
              <w:left w:type="dxa" w:w="80"/>
              <w:bottom w:type="dxa" w:w="80"/>
              <w:right w:type="dxa" w:w="80"/>
            </w:tcMar>
          </w:tcPr>
          <w:p>
            <w:r>
              <w:rPr>
                <w:rFonts w:ascii="Arial" w:cs="Arial" w:eastAsia="Arial" w:hAnsi="Arial"/>
                <w:color w:val="1E293B"/>
                <w:sz w:val="18"/>
                <w:szCs w:val="18"/>
              </w:rPr>
              <w:t xml:space="preserve">1 year operational</w:t>
            </w:r>
          </w:p>
        </w:tc>
        <w:tc>
          <w:tcPr>
            <w:tcMar>
              <w:top w:type="dxa" w:w="80"/>
              <w:left w:type="dxa" w:w="80"/>
              <w:bottom w:type="dxa" w:w="80"/>
              <w:right w:type="dxa" w:w="80"/>
            </w:tcMar>
          </w:tcPr>
          <w:p>
            <w:r>
              <w:rPr>
                <w:rFonts w:ascii="Arial" w:cs="Arial" w:eastAsia="Arial" w:hAnsi="Arial"/>
                <w:color w:val="1E293B"/>
                <w:sz w:val="18"/>
                <w:szCs w:val="18"/>
              </w:rPr>
              <w:t xml:space="preserve">Application Insights</w:t>
            </w:r>
          </w:p>
        </w:tc>
      </w:tr>
      <w:tr>
        <w:tc>
          <w:tcPr>
            <w:tcMar>
              <w:top w:type="dxa" w:w="80"/>
              <w:left w:type="dxa" w:w="80"/>
              <w:bottom w:type="dxa" w:w="80"/>
              <w:right w:type="dxa" w:w="80"/>
            </w:tcMar>
          </w:tcPr>
          <w:p>
            <w:r>
              <w:rPr>
                <w:rFonts w:ascii="Arial" w:cs="Arial" w:eastAsia="Arial" w:hAnsi="Arial"/>
                <w:color w:val="1E293B"/>
                <w:sz w:val="18"/>
                <w:szCs w:val="18"/>
              </w:rPr>
              <w:t xml:space="preserve">Azure Active Directory</w:t>
            </w:r>
          </w:p>
        </w:tc>
        <w:tc>
          <w:tcPr>
            <w:tcMar>
              <w:top w:type="dxa" w:w="80"/>
              <w:left w:type="dxa" w:w="80"/>
              <w:bottom w:type="dxa" w:w="80"/>
              <w:right w:type="dxa" w:w="80"/>
            </w:tcMar>
          </w:tcPr>
          <w:p>
            <w:r>
              <w:rPr>
                <w:rFonts w:ascii="Arial" w:cs="Arial" w:eastAsia="Arial" w:hAnsi="Arial"/>
                <w:color w:val="1E293B"/>
                <w:sz w:val="18"/>
                <w:szCs w:val="18"/>
              </w:rPr>
              <w:t xml:space="preserve">User provisioning, role changes, admin actions</w:t>
            </w:r>
          </w:p>
        </w:tc>
        <w:tc>
          <w:tcPr>
            <w:tcMar>
              <w:top w:type="dxa" w:w="80"/>
              <w:left w:type="dxa" w:w="80"/>
              <w:bottom w:type="dxa" w:w="80"/>
              <w:right w:type="dxa" w:w="80"/>
            </w:tcMar>
          </w:tcPr>
          <w:p>
            <w:r>
              <w:rPr>
                <w:rFonts w:ascii="Arial" w:cs="Arial" w:eastAsia="Arial" w:hAnsi="Arial"/>
                <w:color w:val="1E293B"/>
                <w:sz w:val="18"/>
                <w:szCs w:val="18"/>
              </w:rPr>
              <w:t xml:space="preserve">6 years</w:t>
            </w:r>
          </w:p>
        </w:tc>
        <w:tc>
          <w:tcPr>
            <w:tcMar>
              <w:top w:type="dxa" w:w="80"/>
              <w:left w:type="dxa" w:w="80"/>
              <w:bottom w:type="dxa" w:w="80"/>
              <w:right w:type="dxa" w:w="80"/>
            </w:tcMar>
          </w:tcPr>
          <w:p>
            <w:r>
              <w:rPr>
                <w:rFonts w:ascii="Arial" w:cs="Arial" w:eastAsia="Arial" w:hAnsi="Arial"/>
                <w:color w:val="1E293B"/>
                <w:sz w:val="18"/>
                <w:szCs w:val="18"/>
              </w:rPr>
              <w:t xml:space="preserve">Azure AD audit logs</w:t>
            </w:r>
          </w:p>
        </w:tc>
      </w:tr>
      <w:tr>
        <w:tc>
          <w:tcPr>
            <w:tcMar>
              <w:top w:type="dxa" w:w="80"/>
              <w:left w:type="dxa" w:w="80"/>
              <w:bottom w:type="dxa" w:w="80"/>
              <w:right w:type="dxa" w:w="80"/>
            </w:tcMar>
          </w:tcPr>
          <w:p>
            <w:r>
              <w:rPr>
                <w:rFonts w:ascii="Arial" w:cs="Arial" w:eastAsia="Arial" w:hAnsi="Arial"/>
                <w:color w:val="1E293B"/>
                <w:sz w:val="18"/>
                <w:szCs w:val="18"/>
              </w:rPr>
              <w:t xml:space="preserve">Azure Key Vault</w:t>
            </w:r>
          </w:p>
        </w:tc>
        <w:tc>
          <w:tcPr>
            <w:tcMar>
              <w:top w:type="dxa" w:w="80"/>
              <w:left w:type="dxa" w:w="80"/>
              <w:bottom w:type="dxa" w:w="80"/>
              <w:right w:type="dxa" w:w="80"/>
            </w:tcMar>
          </w:tcPr>
          <w:p>
            <w:r>
              <w:rPr>
                <w:rFonts w:ascii="Arial" w:cs="Arial" w:eastAsia="Arial" w:hAnsi="Arial"/>
                <w:color w:val="1E293B"/>
                <w:sz w:val="18"/>
                <w:szCs w:val="18"/>
              </w:rPr>
              <w:t xml:space="preserve">Key access, wrap/unwrap, certificate operations</w:t>
            </w:r>
          </w:p>
        </w:tc>
        <w:tc>
          <w:tcPr>
            <w:tcMar>
              <w:top w:type="dxa" w:w="80"/>
              <w:left w:type="dxa" w:w="80"/>
              <w:bottom w:type="dxa" w:w="80"/>
              <w:right w:type="dxa" w:w="80"/>
            </w:tcMar>
          </w:tcPr>
          <w:p>
            <w:r>
              <w:rPr>
                <w:rFonts w:ascii="Arial" w:cs="Arial" w:eastAsia="Arial" w:hAnsi="Arial"/>
                <w:color w:val="1E293B"/>
                <w:sz w:val="18"/>
                <w:szCs w:val="18"/>
              </w:rPr>
              <w:t xml:space="preserve">6 years</w:t>
            </w:r>
          </w:p>
        </w:tc>
        <w:tc>
          <w:tcPr>
            <w:tcMar>
              <w:top w:type="dxa" w:w="80"/>
              <w:left w:type="dxa" w:w="80"/>
              <w:bottom w:type="dxa" w:w="80"/>
              <w:right w:type="dxa" w:w="80"/>
            </w:tcMar>
          </w:tcPr>
          <w:p>
            <w:r>
              <w:rPr>
                <w:rFonts w:ascii="Arial" w:cs="Arial" w:eastAsia="Arial" w:hAnsi="Arial"/>
                <w:color w:val="1E293B"/>
                <w:sz w:val="18"/>
                <w:szCs w:val="18"/>
              </w:rPr>
              <w:t xml:space="preserve">Azure Monitor</w:t>
            </w:r>
          </w:p>
        </w:tc>
      </w:tr>
      <w:tr>
        <w:tc>
          <w:tcPr>
            <w:tcMar>
              <w:top w:type="dxa" w:w="80"/>
              <w:left w:type="dxa" w:w="80"/>
              <w:bottom w:type="dxa" w:w="80"/>
              <w:right w:type="dxa" w:w="80"/>
            </w:tcMar>
          </w:tcPr>
          <w:p>
            <w:r>
              <w:rPr>
                <w:rFonts w:ascii="Arial" w:cs="Arial" w:eastAsia="Arial" w:hAnsi="Arial"/>
                <w:color w:val="1E293B"/>
                <w:sz w:val="18"/>
                <w:szCs w:val="18"/>
              </w:rPr>
              <w:t xml:space="preserve">Azure SQL</w:t>
            </w:r>
          </w:p>
        </w:tc>
        <w:tc>
          <w:tcPr>
            <w:tcMar>
              <w:top w:type="dxa" w:w="80"/>
              <w:left w:type="dxa" w:w="80"/>
              <w:bottom w:type="dxa" w:w="80"/>
              <w:right w:type="dxa" w:w="80"/>
            </w:tcMar>
          </w:tcPr>
          <w:p>
            <w:r>
              <w:rPr>
                <w:rFonts w:ascii="Arial" w:cs="Arial" w:eastAsia="Arial" w:hAnsi="Arial"/>
                <w:color w:val="1E293B"/>
                <w:sz w:val="18"/>
                <w:szCs w:val="18"/>
              </w:rPr>
              <w:t xml:space="preserve">Query activity, schema changes, failed auth attempts</w:t>
            </w:r>
          </w:p>
        </w:tc>
        <w:tc>
          <w:tcPr>
            <w:tcMar>
              <w:top w:type="dxa" w:w="80"/>
              <w:left w:type="dxa" w:w="80"/>
              <w:bottom w:type="dxa" w:w="80"/>
              <w:right w:type="dxa" w:w="80"/>
            </w:tcMar>
          </w:tcPr>
          <w:p>
            <w:r>
              <w:rPr>
                <w:rFonts w:ascii="Arial" w:cs="Arial" w:eastAsia="Arial" w:hAnsi="Arial"/>
                <w:color w:val="1E293B"/>
                <w:sz w:val="18"/>
                <w:szCs w:val="18"/>
              </w:rPr>
              <w:t xml:space="preserve">90 days</w:t>
            </w:r>
          </w:p>
        </w:tc>
        <w:tc>
          <w:tcPr>
            <w:tcMar>
              <w:top w:type="dxa" w:w="80"/>
              <w:left w:type="dxa" w:w="80"/>
              <w:bottom w:type="dxa" w:w="80"/>
              <w:right w:type="dxa" w:w="80"/>
            </w:tcMar>
          </w:tcPr>
          <w:p>
            <w:r>
              <w:rPr>
                <w:rFonts w:ascii="Arial" w:cs="Arial" w:eastAsia="Arial" w:hAnsi="Arial"/>
                <w:color w:val="1E293B"/>
                <w:sz w:val="18"/>
                <w:szCs w:val="18"/>
              </w:rPr>
              <w:t xml:space="preserve">Azure SQL Auditing</w:t>
            </w:r>
          </w:p>
        </w:tc>
      </w:tr>
      <w:tr>
        <w:tc>
          <w:tcPr>
            <w:tcMar>
              <w:top w:type="dxa" w:w="80"/>
              <w:left w:type="dxa" w:w="80"/>
              <w:bottom w:type="dxa" w:w="80"/>
              <w:right w:type="dxa" w:w="80"/>
            </w:tcMar>
          </w:tcPr>
          <w:p>
            <w:r>
              <w:rPr>
                <w:rFonts w:ascii="Arial" w:cs="Arial" w:eastAsia="Arial" w:hAnsi="Arial"/>
                <w:color w:val="1E293B"/>
                <w:sz w:val="18"/>
                <w:szCs w:val="18"/>
              </w:rPr>
              <w:t xml:space="preserve">Infrastructure</w:t>
            </w:r>
          </w:p>
        </w:tc>
        <w:tc>
          <w:tcPr>
            <w:tcMar>
              <w:top w:type="dxa" w:w="80"/>
              <w:left w:type="dxa" w:w="80"/>
              <w:bottom w:type="dxa" w:w="80"/>
              <w:right w:type="dxa" w:w="80"/>
            </w:tcMar>
          </w:tcPr>
          <w:p>
            <w:r>
              <w:rPr>
                <w:rFonts w:ascii="Arial" w:cs="Arial" w:eastAsia="Arial" w:hAnsi="Arial"/>
                <w:color w:val="1E293B"/>
                <w:sz w:val="18"/>
                <w:szCs w:val="18"/>
              </w:rPr>
              <w:t xml:space="preserve">App Service start/stop, deployment events, NSG flow logs</w:t>
            </w:r>
          </w:p>
        </w:tc>
        <w:tc>
          <w:tcPr>
            <w:tcMar>
              <w:top w:type="dxa" w:w="80"/>
              <w:left w:type="dxa" w:w="80"/>
              <w:bottom w:type="dxa" w:w="80"/>
              <w:right w:type="dxa" w:w="80"/>
            </w:tcMar>
          </w:tcPr>
          <w:p>
            <w:r>
              <w:rPr>
                <w:rFonts w:ascii="Arial" w:cs="Arial" w:eastAsia="Arial" w:hAnsi="Arial"/>
                <w:color w:val="1E293B"/>
                <w:sz w:val="18"/>
                <w:szCs w:val="18"/>
              </w:rPr>
              <w:t xml:space="preserve">1 year</w:t>
            </w:r>
          </w:p>
        </w:tc>
        <w:tc>
          <w:tcPr>
            <w:tcMar>
              <w:top w:type="dxa" w:w="80"/>
              <w:left w:type="dxa" w:w="80"/>
              <w:bottom w:type="dxa" w:w="80"/>
              <w:right w:type="dxa" w:w="80"/>
            </w:tcMar>
          </w:tcPr>
          <w:p>
            <w:r>
              <w:rPr>
                <w:rFonts w:ascii="Arial" w:cs="Arial" w:eastAsia="Arial" w:hAnsi="Arial"/>
                <w:color w:val="1E293B"/>
                <w:sz w:val="18"/>
                <w:szCs w:val="18"/>
              </w:rPr>
              <w:t xml:space="preserve">Azure Monitor</w:t>
            </w:r>
          </w:p>
        </w:tc>
      </w:tr>
    </w:tbl>
    <w:p>
      <w:pPr>
        <w:pBdr>
          <w:bottom w:val="single" w:color="1A3A5C" w:sz="4"/>
        </w:pBdr>
        <w:spacing w:after="120" w:before="320"/>
      </w:pPr>
      <w:r>
        <w:rPr>
          <w:rFonts w:ascii="Arial" w:cs="Arial" w:eastAsia="Arial" w:hAnsi="Arial"/>
          <w:b/>
          <w:bCs/>
          <w:color w:val="1A3A5C"/>
          <w:sz w:val="28"/>
          <w:szCs w:val="28"/>
        </w:rPr>
        <w:t xml:space="preserve">3. PHI Audit Event Requirements</w:t>
      </w:r>
    </w:p>
    <w:p>
      <w:pPr>
        <w:spacing w:after="100" w:before="80"/>
      </w:pPr>
      <w:r>
        <w:rPr>
          <w:rFonts w:ascii="Arial" w:cs="Arial" w:eastAsia="Arial" w:hAnsi="Arial"/>
          <w:color w:val="1E293B"/>
          <w:sz w:val="21"/>
          <w:szCs w:val="21"/>
        </w:rPr>
        <w:t xml:space="preserve">All PHI access events must be logged with the following minimum fields per HIPAA §164.312(b):</w:t>
      </w:r>
    </w:p>
    <w:p>
      <w:pPr>
        <w:pStyle w:val="ListParagraph"/>
        <w:numPr>
          <w:ilvl w:val="0"/>
          <w:numId w:val="1"/>
        </w:numPr>
        <w:spacing w:after="60" w:before="60"/>
      </w:pPr>
      <w:r>
        <w:rPr>
          <w:rFonts w:ascii="Arial" w:cs="Arial" w:eastAsia="Arial" w:hAnsi="Arial"/>
          <w:color w:val="1E293B"/>
          <w:sz w:val="21"/>
          <w:szCs w:val="21"/>
        </w:rPr>
        <w:t xml:space="preserve">User identifier (authenticated user ID or system service account)</w:t>
      </w:r>
    </w:p>
    <w:p>
      <w:pPr>
        <w:pStyle w:val="ListParagraph"/>
        <w:numPr>
          <w:ilvl w:val="0"/>
          <w:numId w:val="1"/>
        </w:numPr>
        <w:spacing w:after="60" w:before="60"/>
      </w:pPr>
      <w:r>
        <w:rPr>
          <w:rFonts w:ascii="Arial" w:cs="Arial" w:eastAsia="Arial" w:hAnsi="Arial"/>
          <w:color w:val="1E293B"/>
          <w:sz w:val="21"/>
          <w:szCs w:val="21"/>
        </w:rPr>
        <w:t xml:space="preserve">Action type (read, create, update, delete, export)</w:t>
      </w:r>
    </w:p>
    <w:p>
      <w:pPr>
        <w:pStyle w:val="ListParagraph"/>
        <w:numPr>
          <w:ilvl w:val="0"/>
          <w:numId w:val="1"/>
        </w:numPr>
        <w:spacing w:after="60" w:before="60"/>
      </w:pPr>
      <w:r>
        <w:rPr>
          <w:rFonts w:ascii="Arial" w:cs="Arial" w:eastAsia="Arial" w:hAnsi="Arial"/>
          <w:color w:val="1E293B"/>
          <w:sz w:val="21"/>
          <w:szCs w:val="21"/>
        </w:rPr>
        <w:t xml:space="preserve">Resource identifier (patient ID, record type, record ID)</w:t>
      </w:r>
    </w:p>
    <w:p>
      <w:pPr>
        <w:pStyle w:val="ListParagraph"/>
        <w:numPr>
          <w:ilvl w:val="0"/>
          <w:numId w:val="1"/>
        </w:numPr>
        <w:spacing w:after="60" w:before="60"/>
      </w:pPr>
      <w:r>
        <w:rPr>
          <w:rFonts w:ascii="Arial" w:cs="Arial" w:eastAsia="Arial" w:hAnsi="Arial"/>
          <w:color w:val="1E293B"/>
          <w:sz w:val="21"/>
          <w:szCs w:val="21"/>
        </w:rPr>
        <w:t xml:space="preserve">Timestamp (UTC, millisecond precision)</w:t>
      </w:r>
    </w:p>
    <w:p>
      <w:pPr>
        <w:pStyle w:val="ListParagraph"/>
        <w:numPr>
          <w:ilvl w:val="0"/>
          <w:numId w:val="1"/>
        </w:numPr>
        <w:spacing w:after="60" w:before="60"/>
      </w:pPr>
      <w:r>
        <w:rPr>
          <w:rFonts w:ascii="Arial" w:cs="Arial" w:eastAsia="Arial" w:hAnsi="Arial"/>
          <w:color w:val="1E293B"/>
          <w:sz w:val="21"/>
          <w:szCs w:val="21"/>
        </w:rPr>
        <w:t xml:space="preserve">Source IP address and correlation ID</w:t>
      </w:r>
    </w:p>
    <w:p>
      <w:pPr>
        <w:pStyle w:val="ListParagraph"/>
        <w:numPr>
          <w:ilvl w:val="0"/>
          <w:numId w:val="1"/>
        </w:numPr>
        <w:spacing w:after="60" w:before="60"/>
      </w:pPr>
      <w:r>
        <w:rPr>
          <w:rFonts w:ascii="Arial" w:cs="Arial" w:eastAsia="Arial" w:hAnsi="Arial"/>
          <w:color w:val="1E293B"/>
          <w:sz w:val="21"/>
          <w:szCs w:val="21"/>
        </w:rPr>
        <w:t xml:space="preserve">HTTP response status and outcome (success/failure)</w:t>
      </w:r>
    </w:p>
    <w:p>
      <w:pPr>
        <w:spacing w:after="100" w:before="80"/>
      </w:pPr>
      <w:r>
        <w:rPr>
          <w:rFonts w:ascii="Arial" w:cs="Arial" w:eastAsia="Arial" w:hAnsi="Arial"/>
          <w:color w:val="1E293B"/>
          <w:sz w:val="21"/>
          <w:szCs w:val="21"/>
        </w:rPr>
        <w:t xml:space="preserve">PHI audit logs are stored in an immutable, WORM-protected Azure Blob container. Logs are cryptographically hash-chained to detect tampering. Deletion of audit logs is not permitted during the 6-year retention period.</w:t>
      </w:r>
    </w:p>
    <w:p>
      <w:pPr>
        <w:pBdr>
          <w:bottom w:val="single" w:color="1A3A5C" w:sz="4"/>
        </w:pBdr>
        <w:spacing w:after="120" w:before="320"/>
      </w:pPr>
      <w:r>
        <w:rPr>
          <w:rFonts w:ascii="Arial" w:cs="Arial" w:eastAsia="Arial" w:hAnsi="Arial"/>
          <w:b/>
          <w:bCs/>
          <w:color w:val="1A3A5C"/>
          <w:sz w:val="28"/>
          <w:szCs w:val="28"/>
        </w:rPr>
        <w:t xml:space="preserve">4. Log Protection and Integrity</w:t>
      </w:r>
    </w:p>
    <w:p>
      <w:pPr>
        <w:pStyle w:val="ListParagraph"/>
        <w:numPr>
          <w:ilvl w:val="0"/>
          <w:numId w:val="1"/>
        </w:numPr>
        <w:spacing w:after="60" w:before="60"/>
      </w:pPr>
      <w:r>
        <w:rPr>
          <w:rFonts w:ascii="Arial" w:cs="Arial" w:eastAsia="Arial" w:hAnsi="Arial"/>
          <w:color w:val="1E293B"/>
          <w:sz w:val="21"/>
          <w:szCs w:val="21"/>
        </w:rPr>
        <w:t xml:space="preserve">Audit logs are written to a separate, isolated Azure Blob container with immutability policy</w:t>
      </w:r>
    </w:p>
    <w:p>
      <w:pPr>
        <w:pStyle w:val="ListParagraph"/>
        <w:numPr>
          <w:ilvl w:val="0"/>
          <w:numId w:val="1"/>
        </w:numPr>
        <w:spacing w:after="60" w:before="60"/>
      </w:pPr>
      <w:r>
        <w:rPr>
          <w:rFonts w:ascii="Arial" w:cs="Arial" w:eastAsia="Arial" w:hAnsi="Arial"/>
          <w:color w:val="1E293B"/>
          <w:sz w:val="21"/>
          <w:szCs w:val="21"/>
        </w:rPr>
        <w:t xml:space="preserve">Hash-chaining ensures each log entry references the hash of the prior entry</w:t>
      </w:r>
    </w:p>
    <w:p>
      <w:pPr>
        <w:pStyle w:val="ListParagraph"/>
        <w:numPr>
          <w:ilvl w:val="0"/>
          <w:numId w:val="1"/>
        </w:numPr>
        <w:spacing w:after="60" w:before="60"/>
      </w:pPr>
      <w:r>
        <w:rPr>
          <w:rFonts w:ascii="Arial" w:cs="Arial" w:eastAsia="Arial" w:hAnsi="Arial"/>
          <w:color w:val="1E293B"/>
          <w:sz w:val="21"/>
          <w:szCs w:val="21"/>
        </w:rPr>
        <w:t xml:space="preserve">Log access is restricted to the Security Officer and automated pipeline services</w:t>
      </w:r>
    </w:p>
    <w:p>
      <w:pPr>
        <w:pStyle w:val="ListParagraph"/>
        <w:numPr>
          <w:ilvl w:val="0"/>
          <w:numId w:val="1"/>
        </w:numPr>
        <w:spacing w:after="60" w:before="60"/>
      </w:pPr>
      <w:r>
        <w:rPr>
          <w:rFonts w:ascii="Arial" w:cs="Arial" w:eastAsia="Arial" w:hAnsi="Arial"/>
          <w:color w:val="1E293B"/>
          <w:sz w:val="21"/>
          <w:szCs w:val="21"/>
        </w:rPr>
        <w:t xml:space="preserve">Workforce members with access to production databases cannot modify or delete audit logs</w:t>
      </w:r>
    </w:p>
    <w:p>
      <w:pPr>
        <w:pStyle w:val="ListParagraph"/>
        <w:numPr>
          <w:ilvl w:val="0"/>
          <w:numId w:val="1"/>
        </w:numPr>
        <w:spacing w:after="60" w:before="60"/>
      </w:pPr>
      <w:r>
        <w:rPr>
          <w:rFonts w:ascii="Arial" w:cs="Arial" w:eastAsia="Arial" w:hAnsi="Arial"/>
          <w:color w:val="1E293B"/>
          <w:sz w:val="21"/>
          <w:szCs w:val="21"/>
        </w:rPr>
        <w:t xml:space="preserve">Log integrity is verified monthly by the Security Officer</w:t>
      </w:r>
    </w:p>
    <w:p>
      <w:pPr>
        <w:pBdr>
          <w:bottom w:val="single" w:color="1A3A5C" w:sz="4"/>
        </w:pBdr>
        <w:spacing w:after="120" w:before="320"/>
      </w:pPr>
      <w:r>
        <w:rPr>
          <w:rFonts w:ascii="Arial" w:cs="Arial" w:eastAsia="Arial" w:hAnsi="Arial"/>
          <w:b/>
          <w:bCs/>
          <w:color w:val="1A3A5C"/>
          <w:sz w:val="28"/>
          <w:szCs w:val="28"/>
        </w:rPr>
        <w:t xml:space="preserve">5. Alerting and Monitoring</w:t>
      </w:r>
    </w:p>
    <w:p>
      <w:pPr>
        <w:spacing w:after="100" w:before="80"/>
      </w:pPr>
      <w:r>
        <w:rPr>
          <w:rFonts w:ascii="Arial" w:cs="Arial" w:eastAsia="Arial" w:hAnsi="Arial"/>
          <w:color w:val="1E293B"/>
          <w:sz w:val="21"/>
          <w:szCs w:val="21"/>
        </w:rPr>
        <w:t xml:space="preserve">The following events trigger immediate automated alerts to the Security Officer:</w:t>
      </w:r>
    </w:p>
    <w:p>
      <w:pPr>
        <w:pStyle w:val="ListParagraph"/>
        <w:numPr>
          <w:ilvl w:val="0"/>
          <w:numId w:val="1"/>
        </w:numPr>
        <w:spacing w:after="60" w:before="60"/>
      </w:pPr>
      <w:r>
        <w:rPr>
          <w:rFonts w:ascii="Arial" w:cs="Arial" w:eastAsia="Arial" w:hAnsi="Arial"/>
          <w:color w:val="1E293B"/>
          <w:sz w:val="21"/>
          <w:szCs w:val="21"/>
        </w:rPr>
        <w:t xml:space="preserve">Five or more failed authentication attempts within 10 minutes (brute force)</w:t>
      </w:r>
    </w:p>
    <w:p>
      <w:pPr>
        <w:pStyle w:val="ListParagraph"/>
        <w:numPr>
          <w:ilvl w:val="0"/>
          <w:numId w:val="1"/>
        </w:numPr>
        <w:spacing w:after="60" w:before="60"/>
      </w:pPr>
      <w:r>
        <w:rPr>
          <w:rFonts w:ascii="Arial" w:cs="Arial" w:eastAsia="Arial" w:hAnsi="Arial"/>
          <w:color w:val="1E293B"/>
          <w:sz w:val="21"/>
          <w:szCs w:val="21"/>
        </w:rPr>
        <w:t xml:space="preserve">Any access to PHI outside of business hours by non-clinical users</w:t>
      </w:r>
    </w:p>
    <w:p>
      <w:pPr>
        <w:pStyle w:val="ListParagraph"/>
        <w:numPr>
          <w:ilvl w:val="0"/>
          <w:numId w:val="1"/>
        </w:numPr>
        <w:spacing w:after="60" w:before="60"/>
      </w:pPr>
      <w:r>
        <w:rPr>
          <w:rFonts w:ascii="Arial" w:cs="Arial" w:eastAsia="Arial" w:hAnsi="Arial"/>
          <w:color w:val="1E293B"/>
          <w:sz w:val="21"/>
          <w:szCs w:val="21"/>
        </w:rPr>
        <w:t xml:space="preserve">Bulk PHI export (&gt;100 records) by any single user in a 1-hour window</w:t>
      </w:r>
    </w:p>
    <w:p>
      <w:pPr>
        <w:pStyle w:val="ListParagraph"/>
        <w:numPr>
          <w:ilvl w:val="0"/>
          <w:numId w:val="1"/>
        </w:numPr>
        <w:spacing w:after="60" w:before="60"/>
      </w:pPr>
      <w:r>
        <w:rPr>
          <w:rFonts w:ascii="Arial" w:cs="Arial" w:eastAsia="Arial" w:hAnsi="Arial"/>
          <w:color w:val="1E293B"/>
          <w:sz w:val="21"/>
          <w:szCs w:val="21"/>
        </w:rPr>
        <w:t xml:space="preserve">Administrative account login from unrecognized IP or geography</w:t>
      </w:r>
    </w:p>
    <w:p>
      <w:pPr>
        <w:pStyle w:val="ListParagraph"/>
        <w:numPr>
          <w:ilvl w:val="0"/>
          <w:numId w:val="1"/>
        </w:numPr>
        <w:spacing w:after="60" w:before="60"/>
      </w:pPr>
      <w:r>
        <w:rPr>
          <w:rFonts w:ascii="Arial" w:cs="Arial" w:eastAsia="Arial" w:hAnsi="Arial"/>
          <w:color w:val="1E293B"/>
          <w:sz w:val="21"/>
          <w:szCs w:val="21"/>
        </w:rPr>
        <w:t xml:space="preserve">Key Vault access failure or unusual key usage pattern</w:t>
      </w:r>
    </w:p>
    <w:p>
      <w:pPr>
        <w:pStyle w:val="ListParagraph"/>
        <w:numPr>
          <w:ilvl w:val="0"/>
          <w:numId w:val="1"/>
        </w:numPr>
        <w:spacing w:after="60" w:before="60"/>
      </w:pPr>
      <w:r>
        <w:rPr>
          <w:rFonts w:ascii="Arial" w:cs="Arial" w:eastAsia="Arial" w:hAnsi="Arial"/>
          <w:color w:val="1E293B"/>
          <w:sz w:val="21"/>
          <w:szCs w:val="21"/>
        </w:rPr>
        <w:t xml:space="preserve">Application error rate increase &gt;200% above baseline in 5 minutes</w:t>
      </w:r>
    </w:p>
    <w:p>
      <w:pPr>
        <w:pBdr>
          <w:bottom w:val="single" w:color="1A3A5C" w:sz="4"/>
        </w:pBdr>
        <w:spacing w:after="120" w:before="320"/>
      </w:pPr>
      <w:r>
        <w:rPr>
          <w:rFonts w:ascii="Arial" w:cs="Arial" w:eastAsia="Arial" w:hAnsi="Arial"/>
          <w:b/>
          <w:bCs/>
          <w:color w:val="1A3A5C"/>
          <w:sz w:val="28"/>
          <w:szCs w:val="28"/>
        </w:rPr>
        <w:t xml:space="preserve">6. Log Review Procedures</w:t>
      </w:r>
    </w:p>
    <w:p>
      <w:pPr>
        <w:pStyle w:val="ListParagraph"/>
        <w:numPr>
          <w:ilvl w:val="0"/>
          <w:numId w:val="1"/>
        </w:numPr>
        <w:spacing w:after="60" w:before="60"/>
      </w:pPr>
      <w:r>
        <w:rPr>
          <w:rFonts w:ascii="Arial" w:cs="Arial" w:eastAsia="Arial" w:hAnsi="Arial"/>
          <w:color w:val="1E293B"/>
          <w:sz w:val="21"/>
          <w:szCs w:val="21"/>
        </w:rPr>
        <w:t xml:space="preserve">Automated anomaly detection runs continuously via Application Insights smart detection</w:t>
      </w:r>
    </w:p>
    <w:p>
      <w:pPr>
        <w:pStyle w:val="ListParagraph"/>
        <w:numPr>
          <w:ilvl w:val="0"/>
          <w:numId w:val="1"/>
        </w:numPr>
        <w:spacing w:after="60" w:before="60"/>
      </w:pPr>
      <w:r>
        <w:rPr>
          <w:rFonts w:ascii="Arial" w:cs="Arial" w:eastAsia="Arial" w:hAnsi="Arial"/>
          <w:color w:val="1E293B"/>
          <w:sz w:val="21"/>
          <w:szCs w:val="21"/>
        </w:rPr>
        <w:t xml:space="preserve">Security Officer reviews PHI access audit summaries weekly</w:t>
      </w:r>
    </w:p>
    <w:p>
      <w:pPr>
        <w:pStyle w:val="ListParagraph"/>
        <w:numPr>
          <w:ilvl w:val="0"/>
          <w:numId w:val="1"/>
        </w:numPr>
        <w:spacing w:after="60" w:before="60"/>
      </w:pPr>
      <w:r>
        <w:rPr>
          <w:rFonts w:ascii="Arial" w:cs="Arial" w:eastAsia="Arial" w:hAnsi="Arial"/>
          <w:color w:val="1E293B"/>
          <w:sz w:val="21"/>
          <w:szCs w:val="21"/>
        </w:rPr>
        <w:t xml:space="preserve">Full audit log review is performed quarterly or following a security incident</w:t>
      </w:r>
    </w:p>
    <w:p>
      <w:pPr>
        <w:pStyle w:val="ListParagraph"/>
        <w:numPr>
          <w:ilvl w:val="0"/>
          <w:numId w:val="1"/>
        </w:numPr>
        <w:spacing w:after="60" w:before="60"/>
      </w:pPr>
      <w:r>
        <w:rPr>
          <w:rFonts w:ascii="Arial" w:cs="Arial" w:eastAsia="Arial" w:hAnsi="Arial"/>
          <w:color w:val="1E293B"/>
          <w:sz w:val="21"/>
          <w:szCs w:val="21"/>
        </w:rPr>
        <w:t xml:space="preserve">Customer-specific audit log reports are available to Covered Entities upon request for HIPAA audit purposes</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Security Event Logging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Event Logging Policy</dc:title>
  <dc:creator>Altnetix LLC</dc:creator>
  <dc:description>Defines security and PHI audit logging requirements, retention, and monitoring procedures for VitaAI.</dc:description>
  <cp:lastModifiedBy>Un-named</cp:lastModifiedBy>
  <cp:revision>1</cp:revision>
  <dcterms:created xsi:type="dcterms:W3CDTF">2026-06-09T16:58:18.883Z</dcterms:created>
  <dcterms:modified xsi:type="dcterms:W3CDTF">2026-06-09T16:58:18.883Z</dcterms:modified>
</cp:coreProperties>
</file>

<file path=docProps/custom.xml><?xml version="1.0" encoding="utf-8"?>
<Properties xmlns="http://schemas.openxmlformats.org/officeDocument/2006/custom-properties" xmlns:vt="http://schemas.openxmlformats.org/officeDocument/2006/docPropsVTypes"/>
</file>