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A5C" w:val="clear"/>
        <w:spacing w:after="0" w:before="0"/>
      </w:pPr>
      <w:r>
        <w:rPr>
          <w:rFonts w:ascii="Arial" w:cs="Arial" w:eastAsia="Arial" w:hAnsi="Arial"/>
          <w:sz w:val="52"/>
          <w:szCs w:val="52"/>
        </w:rPr>
        <w:t xml:space="preserve"> 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spacing w:after="80" w:before="480"/>
        <w:jc w:val="center"/>
      </w:pPr>
      <w:r>
        <w:rPr>
          <w:rFonts w:ascii="Arial" w:cs="Arial" w:eastAsia="Arial" w:hAnsi="Arial"/>
          <w:b/>
          <w:bCs/>
          <w:color w:val="1A3A5C"/>
          <w:spacing w:val="80"/>
          <w:sz w:val="30"/>
          <w:szCs w:val="30"/>
        </w:rPr>
        <w:t xml:space="preserve">ALTNETIX LLC</w:t>
      </w:r>
    </w:p>
    <w:p>
      <w:pPr>
        <w:spacing w:after="480" w:before="0"/>
        <w:jc w:val="center"/>
      </w:pPr>
      <w:r>
        <w:rPr>
          <w:rFonts w:ascii="Arial" w:cs="Arial" w:eastAsia="Arial" w:hAnsi="Arial"/>
          <w:i/>
          <w:iCs/>
          <w:color w:val="1E4D8C"/>
          <w:sz w:val="24"/>
          <w:szCs w:val="24"/>
        </w:rPr>
        <w:t xml:space="preserve">VitaAI Platform</w:t>
      </w:r>
    </w:p>
    <w:p>
      <w:pPr>
        <w:shd w:fill="1A3A5C" w:val="clear"/>
        <w:spacing w:after="0" w:before="40"/>
        <w:jc w:val="center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CHANGE MANAGEMENT WORKFLOW</w:t>
      </w:r>
    </w:p>
    <w:p>
      <w:pPr>
        <w:shd w:fill="1E4D8C" w:val="clear"/>
        <w:spacing w:after="48" w:before="0"/>
        <w:jc w:val="center"/>
      </w:pPr>
      <w:r>
        <w:rPr>
          <w:rFonts w:ascii="Arial" w:cs="Arial" w:eastAsia="Arial" w:hAnsi="Arial"/>
          <w:color w:val="FFFFFF"/>
          <w:sz w:val="22"/>
          <w:szCs w:val="22"/>
        </w:rPr>
        <w:t xml:space="preserve">Software Development and Production Change Control Process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tbl>
      <w:tblPr>
        <w:tblW w:type="pct" w:w="100%"/>
        <w:tblBorders>
          <w:top w:val="single" w:color="E2E8F0" w:sz="1"/>
          <w:left w:val="single" w:color="E2E8F0" w:sz="1"/>
          <w:bottom w:val="single" w:color="E2E8F0" w:sz="1"/>
          <w:right w:val="single" w:color="E2E8F0" w:sz="1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Control Reference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PDP-7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Document Version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Effective Date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June 1, 2026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Next Review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June 1, 2027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Classification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Confidential – Internal &amp; Customer Use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Maintained by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Altnetix LLC Security &amp; Compliance Team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Contact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compliance@altnetix.com</w:t>
            </w:r>
          </w:p>
        </w:tc>
      </w:tr>
    </w:tbl>
    <w:p>
      <w:pPr>
        <w:pageBreakBefore/>
      </w:pPr>
      <w:r>
        <w:t xml:space="preserve"/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1. Purpose and Scope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This Change Management Workflow governs all changes to production systems, including the VitaAI API, frontend application, Azure infrastructure, database schemas, and security configurations. All changes — regardless of size — must follow this process to ensure stability, security, and auditability.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2. Change Categories</w:t>
      </w:r>
    </w:p>
    <w:tbl>
      <w:tblPr>
        <w:tblW w:type="pct" w:w="100%"/>
        <w:tblBorders>
          <w:top w:val="single" w:color="E2E8F0" w:sz="1"/>
          <w:left w:val="single" w:color="E2E8F0" w:sz="1"/>
          <w:bottom w:val="single" w:color="E2E8F0" w:sz="1"/>
          <w:right w:val="single" w:color="E2E8F0" w:sz="1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Examples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Approval Required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Standard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Pre-approved routine changes with low risk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Dependency updates, minor UI fixes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Team Lead review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Normal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Planned changes requiring review and testing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New features, schema migrations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Security + Peer review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Emergency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Urgent fixes for critical production issues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Security patches, P0 bug fixes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CEO + Security Officer</w:t>
            </w:r>
          </w:p>
        </w:tc>
      </w:tr>
    </w:tbl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3. Change Request Process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All changes originate as a work item in Azure DevOps. The change author must document: description of change, impacted systems, rollback procedure, test plan, and security impact assessment. Changes touching authentication, PHI storage, or cryptographic controls require Security Officer review.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4. Code Review Requirements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All code changes require peer review by at least one other developer before merging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Security-sensitive changes (auth, encryption, PHI handling) require Security Officer review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Code review must verify: functional correctness, OWASP secure coding, test coverage, no secrets in code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Branch protection rules enforce required reviews before merge to main branch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5. Testing Requirements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Unit tests must cover all new business logic (&gt;80% coverage target)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Integration tests required for API endpoint changes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Database migration scripts must be tested on staging before production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Security-affecting changes must pass OWASP ZAP or equivalent scan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Staging environment must validate changes before any production deployment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6. Deployment Process (Azure DevOps)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All production deployments occur via the Azure DevOps CI/CD pipeline: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Code merged to main branch triggers automated build and test pipeline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Pipeline deploys to Staging environment for final validation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Production deployment requires manual approval gate from authorized approver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Blue-green or slot-swap deployment minimizes downtime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Deployment is logged with commit SHA, deployer identity, and timestamp in audit trail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7. Post-Deployment Verification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Application health checks verified within 5 minutes of deployment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Key transaction flows tested manually or via automated smoke tests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Azure Monitor / Application Insights reviewed for error rate anomalies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Rollback initiated if error rate increases &gt;1% above baseline within 30 minutes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8. Emergency Changes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Emergency changes (P0 severity) may bypass standard review timelines but still require: (a) CEO and Security Officer verbal/chat approval, (b) peer review by at least one engineer, (c) immediate post-deployment documentation of the change rationale. HIPAA-impacting emergency changes must be documented within 24 hours.</w:t>
      </w:r>
    </w:p>
    <w:sectPr>
      <w:headerReference w:type="default" r:id="rId7"/>
      <w:footerReference w:type="default" r:id="rId8"/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</w:pPr>
    <w:r>
      <w:rPr>
        <w:rFonts w:ascii="Arial" w:cs="Arial" w:eastAsia="Arial" w:hAnsi="Arial"/>
        <w:color w:val="64748B"/>
        <w:sz w:val="16"/>
        <w:szCs w:val="16"/>
      </w:rPr>
      <w:t xml:space="preserve">Confidential – Altnetix LLC  |  https://vitaai.altnetix.com</w:t>
    </w:r>
    <w:r>
      <w:rPr>
        <w:rFonts w:ascii="Arial" w:cs="Arial" w:eastAsia="Arial" w:hAnsi="Arial"/>
        <w:color w:val="64748B"/>
        <w:sz w:val="16"/>
        <w:szCs w:val="16"/>
      </w:rPr>
      <w:t xml:space="preserve">    Version 1.0  |  Effective June 1,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4"/>
      </w:pBdr>
    </w:pPr>
    <w:r>
      <w:rPr>
        <w:rFonts w:ascii="Arial" w:cs="Arial" w:eastAsia="Arial" w:hAnsi="Arial"/>
        <w:b/>
        <w:bCs/>
        <w:color w:val="1A3A5C"/>
        <w:sz w:val="18"/>
        <w:szCs w:val="18"/>
      </w:rPr>
      <w:t xml:space="preserve">Altnetix LLC  |  VitaAI</w:t>
    </w:r>
    <w:r>
      <w:rPr>
        <w:rFonts w:ascii="Arial" w:cs="Arial" w:eastAsia="Arial" w:hAnsi="Arial"/>
        <w:color w:val="64748B"/>
        <w:sz w:val="18"/>
        <w:szCs w:val="18"/>
      </w:rPr>
      <w:t xml:space="preserve">    Change Management Workflow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Management Workflow</dc:title>
  <dc:creator>Altnetix LLC</dc:creator>
  <dc:description>Defines the process for requesting, reviewing, approving, and deploying changes to production systems.</dc:description>
  <cp:lastModifiedBy>Un-named</cp:lastModifiedBy>
  <cp:revision>1</cp:revision>
  <dcterms:created xsi:type="dcterms:W3CDTF">2026-06-09T16:58:18.743Z</dcterms:created>
  <dcterms:modified xsi:type="dcterms:W3CDTF">2026-06-09T16:58:18.743Z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