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VENDOR RISK ASSESSMENT</w:t>
      </w:r>
    </w:p>
    <w:p>
      <w:pPr>
        <w:shd w:fill="1E4D8C" w:val="clear"/>
        <w:spacing w:after="48" w:before="0"/>
        <w:jc w:val="center"/>
      </w:pPr>
      <w:r>
        <w:rPr>
          <w:rFonts w:ascii="Arial" w:cs="Arial" w:eastAsia="Arial" w:hAnsi="Arial"/>
          <w:color w:val="FFFFFF"/>
          <w:sz w:val="22"/>
          <w:szCs w:val="22"/>
        </w:rPr>
        <w:t xml:space="preserve">Third-Party Vendor Security and HIPAA Compliance Evaluation</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VNDR-2</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Scope</w:t>
      </w:r>
    </w:p>
    <w:p>
      <w:pPr>
        <w:spacing w:after="100" w:before="80"/>
      </w:pPr>
      <w:r>
        <w:rPr>
          <w:rFonts w:ascii="Arial" w:cs="Arial" w:eastAsia="Arial" w:hAnsi="Arial"/>
          <w:color w:val="1E293B"/>
          <w:sz w:val="21"/>
          <w:szCs w:val="21"/>
        </w:rPr>
        <w:t xml:space="preserve">This document presents the results of Altnetix LLC's vendor risk assessment program. HIPAA requires Business Associate Agreements (BAAs) with all vendors that create, receive, maintain, or transmit PHI on behalf of a Covered Entity or Business Associate (45 CFR §164.308(b)(1)). This assessment ensures that critical vendors meet security and compliance requirements.</w:t>
      </w:r>
    </w:p>
    <w:p>
      <w:pPr>
        <w:pBdr>
          <w:bottom w:val="single" w:color="1A3A5C" w:sz="4"/>
        </w:pBdr>
        <w:spacing w:after="120" w:before="320"/>
      </w:pPr>
      <w:r>
        <w:rPr>
          <w:rFonts w:ascii="Arial" w:cs="Arial" w:eastAsia="Arial" w:hAnsi="Arial"/>
          <w:b/>
          <w:bCs/>
          <w:color w:val="1A3A5C"/>
          <w:sz w:val="28"/>
          <w:szCs w:val="28"/>
        </w:rPr>
        <w:t xml:space="preserve">2. Vendor Categorization</w:t>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gridCol w:w="100"/>
      </w:tblGrid>
      <w:tr>
        <w:trPr>
          <w:tblHeader/>
        </w:trPr>
        <w:tc>
          <w:tcPr>
            <w:shd w:fill="1A3A5C" w:val="clear"/>
          </w:tcPr>
          <w:p>
            <w:r>
              <w:rPr>
                <w:rFonts w:ascii="Arial" w:cs="Arial" w:eastAsia="Arial" w:hAnsi="Arial"/>
                <w:b/>
                <w:bCs/>
                <w:color w:val="FFFFFF"/>
                <w:sz w:val="18"/>
                <w:szCs w:val="18"/>
              </w:rPr>
              <w:t xml:space="preserve">Tier</w:t>
            </w:r>
          </w:p>
        </w:tc>
        <w:tc>
          <w:tcPr>
            <w:shd w:fill="1A3A5C" w:val="clear"/>
          </w:tcPr>
          <w:p>
            <w:r>
              <w:rPr>
                <w:rFonts w:ascii="Arial" w:cs="Arial" w:eastAsia="Arial" w:hAnsi="Arial"/>
                <w:b/>
                <w:bCs/>
                <w:color w:val="FFFFFF"/>
                <w:sz w:val="18"/>
                <w:szCs w:val="18"/>
              </w:rPr>
              <w:t xml:space="preserve">Description</w:t>
            </w:r>
          </w:p>
        </w:tc>
        <w:tc>
          <w:tcPr>
            <w:shd w:fill="1A3A5C" w:val="clear"/>
          </w:tcPr>
          <w:p>
            <w:r>
              <w:rPr>
                <w:rFonts w:ascii="Arial" w:cs="Arial" w:eastAsia="Arial" w:hAnsi="Arial"/>
                <w:b/>
                <w:bCs/>
                <w:color w:val="FFFFFF"/>
                <w:sz w:val="18"/>
                <w:szCs w:val="18"/>
              </w:rPr>
              <w:t xml:space="preserve">Review Frequency</w:t>
            </w:r>
          </w:p>
        </w:tc>
      </w:tr>
      <w:tr>
        <w:tc>
          <w:tcPr>
            <w:tcMar>
              <w:top w:type="dxa" w:w="80"/>
              <w:left w:type="dxa" w:w="80"/>
              <w:bottom w:type="dxa" w:w="80"/>
              <w:right w:type="dxa" w:w="80"/>
            </w:tcMar>
          </w:tcPr>
          <w:p>
            <w:r>
              <w:rPr>
                <w:rFonts w:ascii="Arial" w:cs="Arial" w:eastAsia="Arial" w:hAnsi="Arial"/>
                <w:color w:val="1E293B"/>
                <w:sz w:val="18"/>
                <w:szCs w:val="18"/>
              </w:rPr>
              <w:t xml:space="preserve">Tier 1 – Critical</w:t>
            </w:r>
          </w:p>
        </w:tc>
        <w:tc>
          <w:tcPr>
            <w:tcMar>
              <w:top w:type="dxa" w:w="80"/>
              <w:left w:type="dxa" w:w="80"/>
              <w:bottom w:type="dxa" w:w="80"/>
              <w:right w:type="dxa" w:w="80"/>
            </w:tcMar>
          </w:tcPr>
          <w:p>
            <w:r>
              <w:rPr>
                <w:rFonts w:ascii="Arial" w:cs="Arial" w:eastAsia="Arial" w:hAnsi="Arial"/>
                <w:color w:val="1E293B"/>
                <w:sz w:val="18"/>
                <w:szCs w:val="18"/>
              </w:rPr>
              <w:t xml:space="preserve">PHI access or single point of failure</w:t>
            </w:r>
          </w:p>
        </w:tc>
        <w:tc>
          <w:tcPr>
            <w:tcMar>
              <w:top w:type="dxa" w:w="80"/>
              <w:left w:type="dxa" w:w="80"/>
              <w:bottom w:type="dxa" w:w="80"/>
              <w:right w:type="dxa" w:w="80"/>
            </w:tcMar>
          </w:tcPr>
          <w:p>
            <w:r>
              <w:rPr>
                <w:rFonts w:ascii="Arial" w:cs="Arial" w:eastAsia="Arial" w:hAnsi="Arial"/>
                <w:color w:val="1E293B"/>
                <w:sz w:val="18"/>
                <w:szCs w:val="18"/>
              </w:rPr>
              <w:t xml:space="preserve">Annual + on major contract change</w:t>
            </w:r>
          </w:p>
        </w:tc>
      </w:tr>
      <w:tr>
        <w:tc>
          <w:tcPr>
            <w:tcMar>
              <w:top w:type="dxa" w:w="80"/>
              <w:left w:type="dxa" w:w="80"/>
              <w:bottom w:type="dxa" w:w="80"/>
              <w:right w:type="dxa" w:w="80"/>
            </w:tcMar>
          </w:tcPr>
          <w:p>
            <w:r>
              <w:rPr>
                <w:rFonts w:ascii="Arial" w:cs="Arial" w:eastAsia="Arial" w:hAnsi="Arial"/>
                <w:color w:val="1E293B"/>
                <w:sz w:val="18"/>
                <w:szCs w:val="18"/>
              </w:rPr>
              <w:t xml:space="preserve">Tier 2 – High</w:t>
            </w:r>
          </w:p>
        </w:tc>
        <w:tc>
          <w:tcPr>
            <w:tcMar>
              <w:top w:type="dxa" w:w="80"/>
              <w:left w:type="dxa" w:w="80"/>
              <w:bottom w:type="dxa" w:w="80"/>
              <w:right w:type="dxa" w:w="80"/>
            </w:tcMar>
          </w:tcPr>
          <w:p>
            <w:r>
              <w:rPr>
                <w:rFonts w:ascii="Arial" w:cs="Arial" w:eastAsia="Arial" w:hAnsi="Arial"/>
                <w:color w:val="1E293B"/>
                <w:sz w:val="18"/>
                <w:szCs w:val="18"/>
              </w:rPr>
              <w:t xml:space="preserve">Indirect PHI access or significant operational dependency</w:t>
            </w:r>
          </w:p>
        </w:tc>
        <w:tc>
          <w:tcPr>
            <w:tcMar>
              <w:top w:type="dxa" w:w="80"/>
              <w:left w:type="dxa" w:w="80"/>
              <w:bottom w:type="dxa" w:w="80"/>
              <w:right w:type="dxa" w:w="80"/>
            </w:tcMar>
          </w:tcPr>
          <w:p>
            <w:r>
              <w:rPr>
                <w:rFonts w:ascii="Arial" w:cs="Arial" w:eastAsia="Arial" w:hAnsi="Arial"/>
                <w:color w:val="1E293B"/>
                <w:sz w:val="18"/>
                <w:szCs w:val="18"/>
              </w:rPr>
              <w:t xml:space="preserve">Annual</w:t>
            </w:r>
          </w:p>
        </w:tc>
      </w:tr>
      <w:tr>
        <w:tc>
          <w:tcPr>
            <w:tcMar>
              <w:top w:type="dxa" w:w="80"/>
              <w:left w:type="dxa" w:w="80"/>
              <w:bottom w:type="dxa" w:w="80"/>
              <w:right w:type="dxa" w:w="80"/>
            </w:tcMar>
          </w:tcPr>
          <w:p>
            <w:r>
              <w:rPr>
                <w:rFonts w:ascii="Arial" w:cs="Arial" w:eastAsia="Arial" w:hAnsi="Arial"/>
                <w:color w:val="1E293B"/>
                <w:sz w:val="18"/>
                <w:szCs w:val="18"/>
              </w:rPr>
              <w:t xml:space="preserve">Tier 3 – Standard</w:t>
            </w:r>
          </w:p>
        </w:tc>
        <w:tc>
          <w:tcPr>
            <w:tcMar>
              <w:top w:type="dxa" w:w="80"/>
              <w:left w:type="dxa" w:w="80"/>
              <w:bottom w:type="dxa" w:w="80"/>
              <w:right w:type="dxa" w:w="80"/>
            </w:tcMar>
          </w:tcPr>
          <w:p>
            <w:r>
              <w:rPr>
                <w:rFonts w:ascii="Arial" w:cs="Arial" w:eastAsia="Arial" w:hAnsi="Arial"/>
                <w:color w:val="1E293B"/>
                <w:sz w:val="18"/>
                <w:szCs w:val="18"/>
              </w:rPr>
              <w:t xml:space="preserve">No PHI access, non-critical services</w:t>
            </w:r>
          </w:p>
        </w:tc>
        <w:tc>
          <w:tcPr>
            <w:tcMar>
              <w:top w:type="dxa" w:w="80"/>
              <w:left w:type="dxa" w:w="80"/>
              <w:bottom w:type="dxa" w:w="80"/>
              <w:right w:type="dxa" w:w="80"/>
            </w:tcMar>
          </w:tcPr>
          <w:p>
            <w:r>
              <w:rPr>
                <w:rFonts w:ascii="Arial" w:cs="Arial" w:eastAsia="Arial" w:hAnsi="Arial"/>
                <w:color w:val="1E293B"/>
                <w:sz w:val="18"/>
                <w:szCs w:val="18"/>
              </w:rPr>
              <w:t xml:space="preserve">Every 2 years</w:t>
            </w:r>
          </w:p>
        </w:tc>
      </w:tr>
    </w:tbl>
    <w:p>
      <w:pPr>
        <w:pBdr>
          <w:bottom w:val="single" w:color="1A3A5C" w:sz="4"/>
        </w:pBdr>
        <w:spacing w:after="120" w:before="320"/>
      </w:pPr>
      <w:r>
        <w:rPr>
          <w:rFonts w:ascii="Arial" w:cs="Arial" w:eastAsia="Arial" w:hAnsi="Arial"/>
          <w:b/>
          <w:bCs/>
          <w:color w:val="1A3A5C"/>
          <w:sz w:val="28"/>
          <w:szCs w:val="28"/>
        </w:rPr>
        <w:t xml:space="preserve">3. Critical Vendor Assessments</w:t>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gridCol w:w="100"/>
        <w:gridCol w:w="100"/>
        <w:gridCol w:w="100"/>
        <w:gridCol w:w="100"/>
      </w:tblGrid>
      <w:tr>
        <w:trPr>
          <w:tblHeader/>
        </w:trPr>
        <w:tc>
          <w:tcPr>
            <w:shd w:fill="1A3A5C" w:val="clear"/>
          </w:tcPr>
          <w:p>
            <w:r>
              <w:rPr>
                <w:rFonts w:ascii="Arial" w:cs="Arial" w:eastAsia="Arial" w:hAnsi="Arial"/>
                <w:b/>
                <w:bCs/>
                <w:color w:val="FFFFFF"/>
                <w:sz w:val="18"/>
                <w:szCs w:val="18"/>
              </w:rPr>
              <w:t xml:space="preserve">Vendor</w:t>
            </w:r>
          </w:p>
        </w:tc>
        <w:tc>
          <w:tcPr>
            <w:shd w:fill="1A3A5C" w:val="clear"/>
          </w:tcPr>
          <w:p>
            <w:r>
              <w:rPr>
                <w:rFonts w:ascii="Arial" w:cs="Arial" w:eastAsia="Arial" w:hAnsi="Arial"/>
                <w:b/>
                <w:bCs/>
                <w:color w:val="FFFFFF"/>
                <w:sz w:val="18"/>
                <w:szCs w:val="18"/>
              </w:rPr>
              <w:t xml:space="preserve">Service</w:t>
            </w:r>
          </w:p>
        </w:tc>
        <w:tc>
          <w:tcPr>
            <w:shd w:fill="1A3A5C" w:val="clear"/>
          </w:tcPr>
          <w:p>
            <w:r>
              <w:rPr>
                <w:rFonts w:ascii="Arial" w:cs="Arial" w:eastAsia="Arial" w:hAnsi="Arial"/>
                <w:b/>
                <w:bCs/>
                <w:color w:val="FFFFFF"/>
                <w:sz w:val="18"/>
                <w:szCs w:val="18"/>
              </w:rPr>
              <w:t xml:space="preserve">Tier</w:t>
            </w:r>
          </w:p>
        </w:tc>
        <w:tc>
          <w:tcPr>
            <w:shd w:fill="1A3A5C" w:val="clear"/>
          </w:tcPr>
          <w:p>
            <w:r>
              <w:rPr>
                <w:rFonts w:ascii="Arial" w:cs="Arial" w:eastAsia="Arial" w:hAnsi="Arial"/>
                <w:b/>
                <w:bCs/>
                <w:color w:val="FFFFFF"/>
                <w:sz w:val="18"/>
                <w:szCs w:val="18"/>
              </w:rPr>
              <w:t xml:space="preserve">BAA</w:t>
            </w:r>
          </w:p>
        </w:tc>
        <w:tc>
          <w:tcPr>
            <w:shd w:fill="1A3A5C" w:val="clear"/>
          </w:tcPr>
          <w:p>
            <w:r>
              <w:rPr>
                <w:rFonts w:ascii="Arial" w:cs="Arial" w:eastAsia="Arial" w:hAnsi="Arial"/>
                <w:b/>
                <w:bCs/>
                <w:color w:val="FFFFFF"/>
                <w:sz w:val="18"/>
                <w:szCs w:val="18"/>
              </w:rPr>
              <w:t xml:space="preserve">Certifications</w:t>
            </w:r>
          </w:p>
        </w:tc>
        <w:tc>
          <w:tcPr>
            <w:shd w:fill="1A3A5C" w:val="clear"/>
          </w:tcPr>
          <w:p>
            <w:r>
              <w:rPr>
                <w:rFonts w:ascii="Arial" w:cs="Arial" w:eastAsia="Arial" w:hAnsi="Arial"/>
                <w:b/>
                <w:bCs/>
                <w:color w:val="FFFFFF"/>
                <w:sz w:val="18"/>
                <w:szCs w:val="18"/>
              </w:rPr>
              <w:t xml:space="preserve">Last Reviewed</w:t>
            </w:r>
          </w:p>
        </w:tc>
      </w:tr>
      <w:tr>
        <w:tc>
          <w:tcPr>
            <w:tcMar>
              <w:top w:type="dxa" w:w="80"/>
              <w:left w:type="dxa" w:w="80"/>
              <w:bottom w:type="dxa" w:w="80"/>
              <w:right w:type="dxa" w:w="80"/>
            </w:tcMar>
          </w:tcPr>
          <w:p>
            <w:r>
              <w:rPr>
                <w:rFonts w:ascii="Arial" w:cs="Arial" w:eastAsia="Arial" w:hAnsi="Arial"/>
                <w:color w:val="1E293B"/>
                <w:sz w:val="18"/>
                <w:szCs w:val="18"/>
              </w:rPr>
              <w:t xml:space="preserve">Microsoft Azure</w:t>
            </w:r>
          </w:p>
        </w:tc>
        <w:tc>
          <w:tcPr>
            <w:tcMar>
              <w:top w:type="dxa" w:w="80"/>
              <w:left w:type="dxa" w:w="80"/>
              <w:bottom w:type="dxa" w:w="80"/>
              <w:right w:type="dxa" w:w="80"/>
            </w:tcMar>
          </w:tcPr>
          <w:p>
            <w:r>
              <w:rPr>
                <w:rFonts w:ascii="Arial" w:cs="Arial" w:eastAsia="Arial" w:hAnsi="Arial"/>
                <w:color w:val="1E293B"/>
                <w:sz w:val="18"/>
                <w:szCs w:val="18"/>
              </w:rPr>
              <w:t xml:space="preserve">Cloud infrastructure, SQL, Key Vault, Blob</w:t>
            </w:r>
          </w:p>
        </w:tc>
        <w:tc>
          <w:tcPr>
            <w:tcMar>
              <w:top w:type="dxa" w:w="80"/>
              <w:left w:type="dxa" w:w="80"/>
              <w:bottom w:type="dxa" w:w="80"/>
              <w:right w:type="dxa" w:w="80"/>
            </w:tcMar>
          </w:tcPr>
          <w:p>
            <w:r>
              <w:rPr>
                <w:rFonts w:ascii="Arial" w:cs="Arial" w:eastAsia="Arial" w:hAnsi="Arial"/>
                <w:color w:val="1E293B"/>
                <w:sz w:val="18"/>
                <w:szCs w:val="18"/>
              </w:rPr>
              <w:t xml:space="preserve">1</w:t>
            </w:r>
          </w:p>
        </w:tc>
        <w:tc>
          <w:tcPr>
            <w:tcMar>
              <w:top w:type="dxa" w:w="80"/>
              <w:left w:type="dxa" w:w="80"/>
              <w:bottom w:type="dxa" w:w="80"/>
              <w:right w:type="dxa" w:w="80"/>
            </w:tcMar>
          </w:tcPr>
          <w:p>
            <w:r>
              <w:rPr>
                <w:rFonts w:ascii="Arial" w:cs="Arial" w:eastAsia="Arial" w:hAnsi="Arial"/>
                <w:color w:val="1E293B"/>
                <w:sz w:val="18"/>
                <w:szCs w:val="18"/>
              </w:rPr>
              <w:t xml:space="preserve">Yes (in portal)</w:t>
            </w:r>
          </w:p>
        </w:tc>
        <w:tc>
          <w:tcPr>
            <w:tcMar>
              <w:top w:type="dxa" w:w="80"/>
              <w:left w:type="dxa" w:w="80"/>
              <w:bottom w:type="dxa" w:w="80"/>
              <w:right w:type="dxa" w:w="80"/>
            </w:tcMar>
          </w:tcPr>
          <w:p>
            <w:r>
              <w:rPr>
                <w:rFonts w:ascii="Arial" w:cs="Arial" w:eastAsia="Arial" w:hAnsi="Arial"/>
                <w:color w:val="1E293B"/>
                <w:sz w:val="18"/>
                <w:szCs w:val="18"/>
              </w:rPr>
              <w:t xml:space="preserve">HIPAA, SOC 2 II, ISO 27001, FedRAMP</w:t>
            </w:r>
          </w:p>
        </w:tc>
        <w:tc>
          <w:tcPr>
            <w:tcMar>
              <w:top w:type="dxa" w:w="80"/>
              <w:left w:type="dxa" w:w="80"/>
              <w:bottom w:type="dxa" w:w="80"/>
              <w:right w:type="dxa" w:w="80"/>
            </w:tcMar>
          </w:tcPr>
          <w:p>
            <w:r>
              <w:rPr>
                <w:rFonts w:ascii="Arial" w:cs="Arial" w:eastAsia="Arial" w:hAnsi="Arial"/>
                <w:color w:val="1E293B"/>
                <w:sz w:val="18"/>
                <w:szCs w:val="18"/>
              </w:rPr>
              <w:t xml:space="preserve">June 2026</w:t>
            </w:r>
          </w:p>
        </w:tc>
      </w:tr>
      <w:tr>
        <w:tc>
          <w:tcPr>
            <w:tcMar>
              <w:top w:type="dxa" w:w="80"/>
              <w:left w:type="dxa" w:w="80"/>
              <w:bottom w:type="dxa" w:w="80"/>
              <w:right w:type="dxa" w:w="80"/>
            </w:tcMar>
          </w:tcPr>
          <w:p>
            <w:r>
              <w:rPr>
                <w:rFonts w:ascii="Arial" w:cs="Arial" w:eastAsia="Arial" w:hAnsi="Arial"/>
                <w:color w:val="1E293B"/>
                <w:sz w:val="18"/>
                <w:szCs w:val="18"/>
              </w:rPr>
              <w:t xml:space="preserve">Microsoft Entra ID</w:t>
            </w:r>
          </w:p>
        </w:tc>
        <w:tc>
          <w:tcPr>
            <w:tcMar>
              <w:top w:type="dxa" w:w="80"/>
              <w:left w:type="dxa" w:w="80"/>
              <w:bottom w:type="dxa" w:w="80"/>
              <w:right w:type="dxa" w:w="80"/>
            </w:tcMar>
          </w:tcPr>
          <w:p>
            <w:r>
              <w:rPr>
                <w:rFonts w:ascii="Arial" w:cs="Arial" w:eastAsia="Arial" w:hAnsi="Arial"/>
                <w:color w:val="1E293B"/>
                <w:sz w:val="18"/>
                <w:szCs w:val="18"/>
              </w:rPr>
              <w:t xml:space="preserve">Identity and access management</w:t>
            </w:r>
          </w:p>
        </w:tc>
        <w:tc>
          <w:tcPr>
            <w:tcMar>
              <w:top w:type="dxa" w:w="80"/>
              <w:left w:type="dxa" w:w="80"/>
              <w:bottom w:type="dxa" w:w="80"/>
              <w:right w:type="dxa" w:w="80"/>
            </w:tcMar>
          </w:tcPr>
          <w:p>
            <w:r>
              <w:rPr>
                <w:rFonts w:ascii="Arial" w:cs="Arial" w:eastAsia="Arial" w:hAnsi="Arial"/>
                <w:color w:val="1E293B"/>
                <w:sz w:val="18"/>
                <w:szCs w:val="18"/>
              </w:rPr>
              <w:t xml:space="preserve">1</w:t>
            </w:r>
          </w:p>
        </w:tc>
        <w:tc>
          <w:tcPr>
            <w:tcMar>
              <w:top w:type="dxa" w:w="80"/>
              <w:left w:type="dxa" w:w="80"/>
              <w:bottom w:type="dxa" w:w="80"/>
              <w:right w:type="dxa" w:w="80"/>
            </w:tcMar>
          </w:tcPr>
          <w:p>
            <w:r>
              <w:rPr>
                <w:rFonts w:ascii="Arial" w:cs="Arial" w:eastAsia="Arial" w:hAnsi="Arial"/>
                <w:color w:val="1E293B"/>
                <w:sz w:val="18"/>
                <w:szCs w:val="18"/>
              </w:rPr>
              <w:t xml:space="preserve">Yes (via Azure)</w:t>
            </w:r>
          </w:p>
        </w:tc>
        <w:tc>
          <w:tcPr>
            <w:tcMar>
              <w:top w:type="dxa" w:w="80"/>
              <w:left w:type="dxa" w:w="80"/>
              <w:bottom w:type="dxa" w:w="80"/>
              <w:right w:type="dxa" w:w="80"/>
            </w:tcMar>
          </w:tcPr>
          <w:p>
            <w:r>
              <w:rPr>
                <w:rFonts w:ascii="Arial" w:cs="Arial" w:eastAsia="Arial" w:hAnsi="Arial"/>
                <w:color w:val="1E293B"/>
                <w:sz w:val="18"/>
                <w:szCs w:val="18"/>
              </w:rPr>
              <w:t xml:space="preserve">SOC 2 II, ISO 27001</w:t>
            </w:r>
          </w:p>
        </w:tc>
        <w:tc>
          <w:tcPr>
            <w:tcMar>
              <w:top w:type="dxa" w:w="80"/>
              <w:left w:type="dxa" w:w="80"/>
              <w:bottom w:type="dxa" w:w="80"/>
              <w:right w:type="dxa" w:w="80"/>
            </w:tcMar>
          </w:tcPr>
          <w:p>
            <w:r>
              <w:rPr>
                <w:rFonts w:ascii="Arial" w:cs="Arial" w:eastAsia="Arial" w:hAnsi="Arial"/>
                <w:color w:val="1E293B"/>
                <w:sz w:val="18"/>
                <w:szCs w:val="18"/>
              </w:rPr>
              <w:t xml:space="preserve">June 2026</w:t>
            </w:r>
          </w:p>
        </w:tc>
      </w:tr>
      <w:tr>
        <w:tc>
          <w:tcPr>
            <w:tcMar>
              <w:top w:type="dxa" w:w="80"/>
              <w:left w:type="dxa" w:w="80"/>
              <w:bottom w:type="dxa" w:w="80"/>
              <w:right w:type="dxa" w:w="80"/>
            </w:tcMar>
          </w:tcPr>
          <w:p>
            <w:r>
              <w:rPr>
                <w:rFonts w:ascii="Arial" w:cs="Arial" w:eastAsia="Arial" w:hAnsi="Arial"/>
                <w:color w:val="1E293B"/>
                <w:sz w:val="18"/>
                <w:szCs w:val="18"/>
              </w:rPr>
              <w:t xml:space="preserve">Resend</w:t>
            </w:r>
          </w:p>
        </w:tc>
        <w:tc>
          <w:tcPr>
            <w:tcMar>
              <w:top w:type="dxa" w:w="80"/>
              <w:left w:type="dxa" w:w="80"/>
              <w:bottom w:type="dxa" w:w="80"/>
              <w:right w:type="dxa" w:w="80"/>
            </w:tcMar>
          </w:tcPr>
          <w:p>
            <w:r>
              <w:rPr>
                <w:rFonts w:ascii="Arial" w:cs="Arial" w:eastAsia="Arial" w:hAnsi="Arial"/>
                <w:color w:val="1E293B"/>
                <w:sz w:val="18"/>
                <w:szCs w:val="18"/>
              </w:rPr>
              <w:t xml:space="preserve">Transactional email (password resets)</w:t>
            </w:r>
          </w:p>
        </w:tc>
        <w:tc>
          <w:tcPr>
            <w:tcMar>
              <w:top w:type="dxa" w:w="80"/>
              <w:left w:type="dxa" w:w="80"/>
              <w:bottom w:type="dxa" w:w="80"/>
              <w:right w:type="dxa" w:w="80"/>
            </w:tcMar>
          </w:tcPr>
          <w:p>
            <w:r>
              <w:rPr>
                <w:rFonts w:ascii="Arial" w:cs="Arial" w:eastAsia="Arial" w:hAnsi="Arial"/>
                <w:color w:val="1E293B"/>
                <w:sz w:val="18"/>
                <w:szCs w:val="18"/>
              </w:rPr>
              <w:t xml:space="preserve">2</w:t>
            </w:r>
          </w:p>
        </w:tc>
        <w:tc>
          <w:tcPr>
            <w:tcMar>
              <w:top w:type="dxa" w:w="80"/>
              <w:left w:type="dxa" w:w="80"/>
              <w:bottom w:type="dxa" w:w="80"/>
              <w:right w:type="dxa" w:w="80"/>
            </w:tcMar>
          </w:tcPr>
          <w:p>
            <w:r>
              <w:rPr>
                <w:rFonts w:ascii="Arial" w:cs="Arial" w:eastAsia="Arial" w:hAnsi="Arial"/>
                <w:color w:val="1E293B"/>
                <w:sz w:val="18"/>
                <w:szCs w:val="18"/>
              </w:rPr>
              <w:t xml:space="preserve">Available</w:t>
            </w:r>
          </w:p>
        </w:tc>
        <w:tc>
          <w:tcPr>
            <w:tcMar>
              <w:top w:type="dxa" w:w="80"/>
              <w:left w:type="dxa" w:w="80"/>
              <w:bottom w:type="dxa" w:w="80"/>
              <w:right w:type="dxa" w:w="80"/>
            </w:tcMar>
          </w:tcPr>
          <w:p>
            <w:r>
              <w:rPr>
                <w:rFonts w:ascii="Arial" w:cs="Arial" w:eastAsia="Arial" w:hAnsi="Arial"/>
                <w:color w:val="1E293B"/>
                <w:sz w:val="18"/>
                <w:szCs w:val="18"/>
              </w:rPr>
              <w:t xml:space="preserve">SOC 2 II</w:t>
            </w:r>
          </w:p>
        </w:tc>
        <w:tc>
          <w:tcPr>
            <w:tcMar>
              <w:top w:type="dxa" w:w="80"/>
              <w:left w:type="dxa" w:w="80"/>
              <w:bottom w:type="dxa" w:w="80"/>
              <w:right w:type="dxa" w:w="80"/>
            </w:tcMar>
          </w:tcPr>
          <w:p>
            <w:r>
              <w:rPr>
                <w:rFonts w:ascii="Arial" w:cs="Arial" w:eastAsia="Arial" w:hAnsi="Arial"/>
                <w:color w:val="1E293B"/>
                <w:sz w:val="18"/>
                <w:szCs w:val="18"/>
              </w:rPr>
              <w:t xml:space="preserve">June 2026</w:t>
            </w:r>
          </w:p>
        </w:tc>
      </w:tr>
      <w:tr>
        <w:tc>
          <w:tcPr>
            <w:tcMar>
              <w:top w:type="dxa" w:w="80"/>
              <w:left w:type="dxa" w:w="80"/>
              <w:bottom w:type="dxa" w:w="80"/>
              <w:right w:type="dxa" w:w="80"/>
            </w:tcMar>
          </w:tcPr>
          <w:p>
            <w:r>
              <w:rPr>
                <w:rFonts w:ascii="Arial" w:cs="Arial" w:eastAsia="Arial" w:hAnsi="Arial"/>
                <w:color w:val="1E293B"/>
                <w:sz w:val="18"/>
                <w:szCs w:val="18"/>
              </w:rPr>
              <w:t xml:space="preserve">DoseSpot</w:t>
            </w:r>
          </w:p>
        </w:tc>
        <w:tc>
          <w:tcPr>
            <w:tcMar>
              <w:top w:type="dxa" w:w="80"/>
              <w:left w:type="dxa" w:w="80"/>
              <w:bottom w:type="dxa" w:w="80"/>
              <w:right w:type="dxa" w:w="80"/>
            </w:tcMar>
          </w:tcPr>
          <w:p>
            <w:r>
              <w:rPr>
                <w:rFonts w:ascii="Arial" w:cs="Arial" w:eastAsia="Arial" w:hAnsi="Arial"/>
                <w:color w:val="1E293B"/>
                <w:sz w:val="18"/>
                <w:szCs w:val="18"/>
              </w:rPr>
              <w:t xml:space="preserve">e-Prescribing / Surescripts network</w:t>
            </w:r>
          </w:p>
        </w:tc>
        <w:tc>
          <w:tcPr>
            <w:tcMar>
              <w:top w:type="dxa" w:w="80"/>
              <w:left w:type="dxa" w:w="80"/>
              <w:bottom w:type="dxa" w:w="80"/>
              <w:right w:type="dxa" w:w="80"/>
            </w:tcMar>
          </w:tcPr>
          <w:p>
            <w:r>
              <w:rPr>
                <w:rFonts w:ascii="Arial" w:cs="Arial" w:eastAsia="Arial" w:hAnsi="Arial"/>
                <w:color w:val="1E293B"/>
                <w:sz w:val="18"/>
                <w:szCs w:val="18"/>
              </w:rPr>
              <w:t xml:space="preserve">1</w:t>
            </w:r>
          </w:p>
        </w:tc>
        <w:tc>
          <w:tcPr>
            <w:tcMar>
              <w:top w:type="dxa" w:w="80"/>
              <w:left w:type="dxa" w:w="80"/>
              <w:bottom w:type="dxa" w:w="80"/>
              <w:right w:type="dxa" w:w="80"/>
            </w:tcMar>
          </w:tcPr>
          <w:p>
            <w:r>
              <w:rPr>
                <w:rFonts w:ascii="Arial" w:cs="Arial" w:eastAsia="Arial" w:hAnsi="Arial"/>
                <w:color w:val="1E293B"/>
                <w:sz w:val="18"/>
                <w:szCs w:val="18"/>
              </w:rPr>
              <w:t xml:space="preserve">Yes (executed)</w:t>
            </w:r>
          </w:p>
        </w:tc>
        <w:tc>
          <w:tcPr>
            <w:tcMar>
              <w:top w:type="dxa" w:w="80"/>
              <w:left w:type="dxa" w:w="80"/>
              <w:bottom w:type="dxa" w:w="80"/>
              <w:right w:type="dxa" w:w="80"/>
            </w:tcMar>
          </w:tcPr>
          <w:p>
            <w:r>
              <w:rPr>
                <w:rFonts w:ascii="Arial" w:cs="Arial" w:eastAsia="Arial" w:hAnsi="Arial"/>
                <w:color w:val="1E293B"/>
                <w:sz w:val="18"/>
                <w:szCs w:val="18"/>
              </w:rPr>
              <w:t xml:space="preserve">HIPAA, DEA EPCS</w:t>
            </w:r>
          </w:p>
        </w:tc>
        <w:tc>
          <w:tcPr>
            <w:tcMar>
              <w:top w:type="dxa" w:w="80"/>
              <w:left w:type="dxa" w:w="80"/>
              <w:bottom w:type="dxa" w:w="80"/>
              <w:right w:type="dxa" w:w="80"/>
            </w:tcMar>
          </w:tcPr>
          <w:p>
            <w:r>
              <w:rPr>
                <w:rFonts w:ascii="Arial" w:cs="Arial" w:eastAsia="Arial" w:hAnsi="Arial"/>
                <w:color w:val="1E293B"/>
                <w:sz w:val="18"/>
                <w:szCs w:val="18"/>
              </w:rPr>
              <w:t xml:space="preserve">June 2026</w:t>
            </w:r>
          </w:p>
        </w:tc>
      </w:tr>
      <w:tr>
        <w:tc>
          <w:tcPr>
            <w:tcMar>
              <w:top w:type="dxa" w:w="80"/>
              <w:left w:type="dxa" w:w="80"/>
              <w:bottom w:type="dxa" w:w="80"/>
              <w:right w:type="dxa" w:w="80"/>
            </w:tcMar>
          </w:tcPr>
          <w:p>
            <w:r>
              <w:rPr>
                <w:rFonts w:ascii="Arial" w:cs="Arial" w:eastAsia="Arial" w:hAnsi="Arial"/>
                <w:color w:val="1E293B"/>
                <w:sz w:val="18"/>
                <w:szCs w:val="18"/>
              </w:rPr>
              <w:t xml:space="preserve">Availity</w:t>
            </w:r>
          </w:p>
        </w:tc>
        <w:tc>
          <w:tcPr>
            <w:tcMar>
              <w:top w:type="dxa" w:w="80"/>
              <w:left w:type="dxa" w:w="80"/>
              <w:bottom w:type="dxa" w:w="80"/>
              <w:right w:type="dxa" w:w="80"/>
            </w:tcMar>
          </w:tcPr>
          <w:p>
            <w:r>
              <w:rPr>
                <w:rFonts w:ascii="Arial" w:cs="Arial" w:eastAsia="Arial" w:hAnsi="Arial"/>
                <w:color w:val="1E293B"/>
                <w:sz w:val="18"/>
                <w:szCs w:val="18"/>
              </w:rPr>
              <w:t xml:space="preserve">Insurance eligibility / claims clearinghouse</w:t>
            </w:r>
          </w:p>
        </w:tc>
        <w:tc>
          <w:tcPr>
            <w:tcMar>
              <w:top w:type="dxa" w:w="80"/>
              <w:left w:type="dxa" w:w="80"/>
              <w:bottom w:type="dxa" w:w="80"/>
              <w:right w:type="dxa" w:w="80"/>
            </w:tcMar>
          </w:tcPr>
          <w:p>
            <w:r>
              <w:rPr>
                <w:rFonts w:ascii="Arial" w:cs="Arial" w:eastAsia="Arial" w:hAnsi="Arial"/>
                <w:color w:val="1E293B"/>
                <w:sz w:val="18"/>
                <w:szCs w:val="18"/>
              </w:rPr>
              <w:t xml:space="preserve">1</w:t>
            </w:r>
          </w:p>
        </w:tc>
        <w:tc>
          <w:tcPr>
            <w:tcMar>
              <w:top w:type="dxa" w:w="80"/>
              <w:left w:type="dxa" w:w="80"/>
              <w:bottom w:type="dxa" w:w="80"/>
              <w:right w:type="dxa" w:w="80"/>
            </w:tcMar>
          </w:tcPr>
          <w:p>
            <w:r>
              <w:rPr>
                <w:rFonts w:ascii="Arial" w:cs="Arial" w:eastAsia="Arial" w:hAnsi="Arial"/>
                <w:color w:val="1E293B"/>
                <w:sz w:val="18"/>
                <w:szCs w:val="18"/>
              </w:rPr>
              <w:t xml:space="preserve">Yes (executed)</w:t>
            </w:r>
          </w:p>
        </w:tc>
        <w:tc>
          <w:tcPr>
            <w:tcMar>
              <w:top w:type="dxa" w:w="80"/>
              <w:left w:type="dxa" w:w="80"/>
              <w:bottom w:type="dxa" w:w="80"/>
              <w:right w:type="dxa" w:w="80"/>
            </w:tcMar>
          </w:tcPr>
          <w:p>
            <w:r>
              <w:rPr>
                <w:rFonts w:ascii="Arial" w:cs="Arial" w:eastAsia="Arial" w:hAnsi="Arial"/>
                <w:color w:val="1E293B"/>
                <w:sz w:val="18"/>
                <w:szCs w:val="18"/>
              </w:rPr>
              <w:t xml:space="preserve">HIPAA, SOC 2 II</w:t>
            </w:r>
          </w:p>
        </w:tc>
        <w:tc>
          <w:tcPr>
            <w:tcMar>
              <w:top w:type="dxa" w:w="80"/>
              <w:left w:type="dxa" w:w="80"/>
              <w:bottom w:type="dxa" w:w="80"/>
              <w:right w:type="dxa" w:w="80"/>
            </w:tcMar>
          </w:tcPr>
          <w:p>
            <w:r>
              <w:rPr>
                <w:rFonts w:ascii="Arial" w:cs="Arial" w:eastAsia="Arial" w:hAnsi="Arial"/>
                <w:color w:val="1E293B"/>
                <w:sz w:val="18"/>
                <w:szCs w:val="18"/>
              </w:rPr>
              <w:t xml:space="preserve">June 2026</w:t>
            </w:r>
          </w:p>
        </w:tc>
      </w:tr>
      <w:tr>
        <w:tc>
          <w:tcPr>
            <w:tcMar>
              <w:top w:type="dxa" w:w="80"/>
              <w:left w:type="dxa" w:w="80"/>
              <w:bottom w:type="dxa" w:w="80"/>
              <w:right w:type="dxa" w:w="80"/>
            </w:tcMar>
          </w:tcPr>
          <w:p>
            <w:r>
              <w:rPr>
                <w:rFonts w:ascii="Arial" w:cs="Arial" w:eastAsia="Arial" w:hAnsi="Arial"/>
                <w:color w:val="1E293B"/>
                <w:sz w:val="18"/>
                <w:szCs w:val="18"/>
              </w:rPr>
              <w:t xml:space="preserve">QuestPDF</w:t>
            </w:r>
          </w:p>
        </w:tc>
        <w:tc>
          <w:tcPr>
            <w:tcMar>
              <w:top w:type="dxa" w:w="80"/>
              <w:left w:type="dxa" w:w="80"/>
              <w:bottom w:type="dxa" w:w="80"/>
              <w:right w:type="dxa" w:w="80"/>
            </w:tcMar>
          </w:tcPr>
          <w:p>
            <w:r>
              <w:rPr>
                <w:rFonts w:ascii="Arial" w:cs="Arial" w:eastAsia="Arial" w:hAnsi="Arial"/>
                <w:color w:val="1E293B"/>
                <w:sz w:val="18"/>
                <w:szCs w:val="18"/>
              </w:rPr>
              <w:t xml:space="preserve">PDF generation (documents only)</w:t>
            </w:r>
          </w:p>
        </w:tc>
        <w:tc>
          <w:tcPr>
            <w:tcMar>
              <w:top w:type="dxa" w:w="80"/>
              <w:left w:type="dxa" w:w="80"/>
              <w:bottom w:type="dxa" w:w="80"/>
              <w:right w:type="dxa" w:w="80"/>
            </w:tcMar>
          </w:tcPr>
          <w:p>
            <w:r>
              <w:rPr>
                <w:rFonts w:ascii="Arial" w:cs="Arial" w:eastAsia="Arial" w:hAnsi="Arial"/>
                <w:color w:val="1E293B"/>
                <w:sz w:val="18"/>
                <w:szCs w:val="18"/>
              </w:rPr>
              <w:t xml:space="preserve">3</w:t>
            </w:r>
          </w:p>
        </w:tc>
        <w:tc>
          <w:tcPr>
            <w:tcMar>
              <w:top w:type="dxa" w:w="80"/>
              <w:left w:type="dxa" w:w="80"/>
              <w:bottom w:type="dxa" w:w="80"/>
              <w:right w:type="dxa" w:w="80"/>
            </w:tcMar>
          </w:tcPr>
          <w:p>
            <w:r>
              <w:rPr>
                <w:rFonts w:ascii="Arial" w:cs="Arial" w:eastAsia="Arial" w:hAnsi="Arial"/>
                <w:color w:val="1E293B"/>
                <w:sz w:val="18"/>
                <w:szCs w:val="18"/>
              </w:rPr>
              <w:t xml:space="preserve">N/A – no PHI</w:t>
            </w:r>
          </w:p>
        </w:tc>
        <w:tc>
          <w:tcPr>
            <w:tcMar>
              <w:top w:type="dxa" w:w="80"/>
              <w:left w:type="dxa" w:w="80"/>
              <w:bottom w:type="dxa" w:w="80"/>
              <w:right w:type="dxa" w:w="80"/>
            </w:tcMar>
          </w:tcPr>
          <w:p>
            <w:r>
              <w:rPr>
                <w:rFonts w:ascii="Arial" w:cs="Arial" w:eastAsia="Arial" w:hAnsi="Arial"/>
                <w:color w:val="1E293B"/>
                <w:sz w:val="18"/>
                <w:szCs w:val="18"/>
              </w:rPr>
              <w:t xml:space="preserve">Community license</w:t>
            </w:r>
          </w:p>
        </w:tc>
        <w:tc>
          <w:tcPr>
            <w:tcMar>
              <w:top w:type="dxa" w:w="80"/>
              <w:left w:type="dxa" w:w="80"/>
              <w:bottom w:type="dxa" w:w="80"/>
              <w:right w:type="dxa" w:w="80"/>
            </w:tcMar>
          </w:tcPr>
          <w:p>
            <w:r>
              <w:rPr>
                <w:rFonts w:ascii="Arial" w:cs="Arial" w:eastAsia="Arial" w:hAnsi="Arial"/>
                <w:color w:val="1E293B"/>
                <w:sz w:val="18"/>
                <w:szCs w:val="18"/>
              </w:rPr>
              <w:t xml:space="preserve">June 2026</w:t>
            </w:r>
          </w:p>
        </w:tc>
      </w:tr>
      <w:tr>
        <w:tc>
          <w:tcPr>
            <w:tcMar>
              <w:top w:type="dxa" w:w="80"/>
              <w:left w:type="dxa" w:w="80"/>
              <w:bottom w:type="dxa" w:w="80"/>
              <w:right w:type="dxa" w:w="80"/>
            </w:tcMar>
          </w:tcPr>
          <w:p>
            <w:r>
              <w:rPr>
                <w:rFonts w:ascii="Arial" w:cs="Arial" w:eastAsia="Arial" w:hAnsi="Arial"/>
                <w:color w:val="1E293B"/>
                <w:sz w:val="18"/>
                <w:szCs w:val="18"/>
              </w:rPr>
              <w:t xml:space="preserve">Qualys SSL Labs</w:t>
            </w:r>
          </w:p>
        </w:tc>
        <w:tc>
          <w:tcPr>
            <w:tcMar>
              <w:top w:type="dxa" w:w="80"/>
              <w:left w:type="dxa" w:w="80"/>
              <w:bottom w:type="dxa" w:w="80"/>
              <w:right w:type="dxa" w:w="80"/>
            </w:tcMar>
          </w:tcPr>
          <w:p>
            <w:r>
              <w:rPr>
                <w:rFonts w:ascii="Arial" w:cs="Arial" w:eastAsia="Arial" w:hAnsi="Arial"/>
                <w:color w:val="1E293B"/>
                <w:sz w:val="18"/>
                <w:szCs w:val="18"/>
              </w:rPr>
              <w:t xml:space="preserve">External SSL/TLS scanning</w:t>
            </w:r>
          </w:p>
        </w:tc>
        <w:tc>
          <w:tcPr>
            <w:tcMar>
              <w:top w:type="dxa" w:w="80"/>
              <w:left w:type="dxa" w:w="80"/>
              <w:bottom w:type="dxa" w:w="80"/>
              <w:right w:type="dxa" w:w="80"/>
            </w:tcMar>
          </w:tcPr>
          <w:p>
            <w:r>
              <w:rPr>
                <w:rFonts w:ascii="Arial" w:cs="Arial" w:eastAsia="Arial" w:hAnsi="Arial"/>
                <w:color w:val="1E293B"/>
                <w:sz w:val="18"/>
                <w:szCs w:val="18"/>
              </w:rPr>
              <w:t xml:space="preserve">3</w:t>
            </w:r>
          </w:p>
        </w:tc>
        <w:tc>
          <w:tcPr>
            <w:tcMar>
              <w:top w:type="dxa" w:w="80"/>
              <w:left w:type="dxa" w:w="80"/>
              <w:bottom w:type="dxa" w:w="80"/>
              <w:right w:type="dxa" w:w="80"/>
            </w:tcMar>
          </w:tcPr>
          <w:p>
            <w:r>
              <w:rPr>
                <w:rFonts w:ascii="Arial" w:cs="Arial" w:eastAsia="Arial" w:hAnsi="Arial"/>
                <w:color w:val="1E293B"/>
                <w:sz w:val="18"/>
                <w:szCs w:val="18"/>
              </w:rPr>
              <w:t xml:space="preserve">N/A – no PHI</w:t>
            </w:r>
          </w:p>
        </w:tc>
        <w:tc>
          <w:tcPr>
            <w:tcMar>
              <w:top w:type="dxa" w:w="80"/>
              <w:left w:type="dxa" w:w="80"/>
              <w:bottom w:type="dxa" w:w="80"/>
              <w:right w:type="dxa" w:w="80"/>
            </w:tcMar>
          </w:tcPr>
          <w:p>
            <w:r>
              <w:rPr>
                <w:rFonts w:ascii="Arial" w:cs="Arial" w:eastAsia="Arial" w:hAnsi="Arial"/>
                <w:color w:val="1E293B"/>
                <w:sz w:val="18"/>
                <w:szCs w:val="18"/>
              </w:rPr>
              <w:t xml:space="preserve">Industry-recognized</w:t>
            </w:r>
          </w:p>
        </w:tc>
        <w:tc>
          <w:tcPr>
            <w:tcMar>
              <w:top w:type="dxa" w:w="80"/>
              <w:left w:type="dxa" w:w="80"/>
              <w:bottom w:type="dxa" w:w="80"/>
              <w:right w:type="dxa" w:w="80"/>
            </w:tcMar>
          </w:tcPr>
          <w:p>
            <w:r>
              <w:rPr>
                <w:rFonts w:ascii="Arial" w:cs="Arial" w:eastAsia="Arial" w:hAnsi="Arial"/>
                <w:color w:val="1E293B"/>
                <w:sz w:val="18"/>
                <w:szCs w:val="18"/>
              </w:rPr>
              <w:t xml:space="preserve">June 2026</w:t>
            </w:r>
          </w:p>
        </w:tc>
      </w:tr>
    </w:tbl>
    <w:p>
      <w:pPr>
        <w:pBdr>
          <w:bottom w:val="single" w:color="1A3A5C" w:sz="4"/>
        </w:pBdr>
        <w:spacing w:after="120" w:before="320"/>
      </w:pPr>
      <w:r>
        <w:rPr>
          <w:rFonts w:ascii="Arial" w:cs="Arial" w:eastAsia="Arial" w:hAnsi="Arial"/>
          <w:b/>
          <w:bCs/>
          <w:color w:val="1A3A5C"/>
          <w:sz w:val="28"/>
          <w:szCs w:val="28"/>
        </w:rPr>
        <w:t xml:space="preserve">4. Assessment Criteria</w:t>
      </w:r>
    </w:p>
    <w:p>
      <w:pPr>
        <w:pStyle w:val="ListParagraph"/>
        <w:numPr>
          <w:ilvl w:val="0"/>
          <w:numId w:val="1"/>
        </w:numPr>
        <w:spacing w:after="60" w:before="60"/>
      </w:pPr>
      <w:r>
        <w:rPr>
          <w:rFonts w:ascii="Arial" w:cs="Arial" w:eastAsia="Arial" w:hAnsi="Arial"/>
          <w:color w:val="1E293B"/>
          <w:sz w:val="21"/>
          <w:szCs w:val="21"/>
        </w:rPr>
        <w:t xml:space="preserve">BAA execution status (required for all Tier 1 and 2 vendors with PHI access)</w:t>
      </w:r>
    </w:p>
    <w:p>
      <w:pPr>
        <w:pStyle w:val="ListParagraph"/>
        <w:numPr>
          <w:ilvl w:val="0"/>
          <w:numId w:val="1"/>
        </w:numPr>
        <w:spacing w:after="60" w:before="60"/>
      </w:pPr>
      <w:r>
        <w:rPr>
          <w:rFonts w:ascii="Arial" w:cs="Arial" w:eastAsia="Arial" w:hAnsi="Arial"/>
          <w:color w:val="1E293B"/>
          <w:sz w:val="21"/>
          <w:szCs w:val="21"/>
        </w:rPr>
        <w:t xml:space="preserve">Security certifications (SOC 2 Type II, ISO 27001, HIPAA attestation)</w:t>
      </w:r>
    </w:p>
    <w:p>
      <w:pPr>
        <w:pStyle w:val="ListParagraph"/>
        <w:numPr>
          <w:ilvl w:val="0"/>
          <w:numId w:val="1"/>
        </w:numPr>
        <w:spacing w:after="60" w:before="60"/>
      </w:pPr>
      <w:r>
        <w:rPr>
          <w:rFonts w:ascii="Arial" w:cs="Arial" w:eastAsia="Arial" w:hAnsi="Arial"/>
          <w:color w:val="1E293B"/>
          <w:sz w:val="21"/>
          <w:szCs w:val="21"/>
        </w:rPr>
        <w:t xml:space="preserve">Encryption standards for data at rest and in transit</w:t>
      </w:r>
    </w:p>
    <w:p>
      <w:pPr>
        <w:pStyle w:val="ListParagraph"/>
        <w:numPr>
          <w:ilvl w:val="0"/>
          <w:numId w:val="1"/>
        </w:numPr>
        <w:spacing w:after="60" w:before="60"/>
      </w:pPr>
      <w:r>
        <w:rPr>
          <w:rFonts w:ascii="Arial" w:cs="Arial" w:eastAsia="Arial" w:hAnsi="Arial"/>
          <w:color w:val="1E293B"/>
          <w:sz w:val="21"/>
          <w:szCs w:val="21"/>
        </w:rPr>
        <w:t xml:space="preserve">Incident notification procedures and breach response SLAs</w:t>
      </w:r>
    </w:p>
    <w:p>
      <w:pPr>
        <w:pStyle w:val="ListParagraph"/>
        <w:numPr>
          <w:ilvl w:val="0"/>
          <w:numId w:val="1"/>
        </w:numPr>
        <w:spacing w:after="60" w:before="60"/>
      </w:pPr>
      <w:r>
        <w:rPr>
          <w:rFonts w:ascii="Arial" w:cs="Arial" w:eastAsia="Arial" w:hAnsi="Arial"/>
          <w:color w:val="1E293B"/>
          <w:sz w:val="21"/>
          <w:szCs w:val="21"/>
        </w:rPr>
        <w:t xml:space="preserve">Business continuity and disaster recovery capabilities</w:t>
      </w:r>
    </w:p>
    <w:p>
      <w:pPr>
        <w:pStyle w:val="ListParagraph"/>
        <w:numPr>
          <w:ilvl w:val="0"/>
          <w:numId w:val="1"/>
        </w:numPr>
        <w:spacing w:after="60" w:before="60"/>
      </w:pPr>
      <w:r>
        <w:rPr>
          <w:rFonts w:ascii="Arial" w:cs="Arial" w:eastAsia="Arial" w:hAnsi="Arial"/>
          <w:color w:val="1E293B"/>
          <w:sz w:val="21"/>
          <w:szCs w:val="21"/>
        </w:rPr>
        <w:t xml:space="preserve">Subcontractor management and supply-chain security practices</w:t>
      </w:r>
    </w:p>
    <w:p>
      <w:pPr>
        <w:pBdr>
          <w:bottom w:val="single" w:color="1A3A5C" w:sz="4"/>
        </w:pBdr>
        <w:spacing w:after="120" w:before="320"/>
      </w:pPr>
      <w:r>
        <w:rPr>
          <w:rFonts w:ascii="Arial" w:cs="Arial" w:eastAsia="Arial" w:hAnsi="Arial"/>
          <w:b/>
          <w:bCs/>
          <w:color w:val="1A3A5C"/>
          <w:sz w:val="28"/>
          <w:szCs w:val="28"/>
        </w:rPr>
        <w:t xml:space="preserve">5. Vendor Onboarding Requirements</w:t>
      </w:r>
    </w:p>
    <w:p>
      <w:pPr>
        <w:pStyle w:val="ListParagraph"/>
        <w:numPr>
          <w:ilvl w:val="0"/>
          <w:numId w:val="1"/>
        </w:numPr>
        <w:spacing w:after="60" w:before="60"/>
      </w:pPr>
      <w:r>
        <w:rPr>
          <w:rFonts w:ascii="Arial" w:cs="Arial" w:eastAsia="Arial" w:hAnsi="Arial"/>
          <w:color w:val="1E293B"/>
          <w:sz w:val="21"/>
          <w:szCs w:val="21"/>
        </w:rPr>
        <w:t xml:space="preserve">New vendors complete a security questionnaire before access is granted</w:t>
      </w:r>
    </w:p>
    <w:p>
      <w:pPr>
        <w:pStyle w:val="ListParagraph"/>
        <w:numPr>
          <w:ilvl w:val="0"/>
          <w:numId w:val="1"/>
        </w:numPr>
        <w:spacing w:after="60" w:before="60"/>
      </w:pPr>
      <w:r>
        <w:rPr>
          <w:rFonts w:ascii="Arial" w:cs="Arial" w:eastAsia="Arial" w:hAnsi="Arial"/>
          <w:color w:val="1E293B"/>
          <w:sz w:val="21"/>
          <w:szCs w:val="21"/>
        </w:rPr>
        <w:t xml:space="preserve">BAA is executed before any PHI is shared with or accessible to the vendor</w:t>
      </w:r>
    </w:p>
    <w:p>
      <w:pPr>
        <w:pStyle w:val="ListParagraph"/>
        <w:numPr>
          <w:ilvl w:val="0"/>
          <w:numId w:val="1"/>
        </w:numPr>
        <w:spacing w:after="60" w:before="60"/>
      </w:pPr>
      <w:r>
        <w:rPr>
          <w:rFonts w:ascii="Arial" w:cs="Arial" w:eastAsia="Arial" w:hAnsi="Arial"/>
          <w:color w:val="1E293B"/>
          <w:sz w:val="21"/>
          <w:szCs w:val="21"/>
        </w:rPr>
        <w:t xml:space="preserve">Vendor contracts include security, data protection, and breach notification terms</w:t>
      </w:r>
    </w:p>
    <w:p>
      <w:pPr>
        <w:pStyle w:val="ListParagraph"/>
        <w:numPr>
          <w:ilvl w:val="0"/>
          <w:numId w:val="1"/>
        </w:numPr>
        <w:spacing w:after="60" w:before="60"/>
      </w:pPr>
      <w:r>
        <w:rPr>
          <w:rFonts w:ascii="Arial" w:cs="Arial" w:eastAsia="Arial" w:hAnsi="Arial"/>
          <w:color w:val="1E293B"/>
          <w:sz w:val="21"/>
          <w:szCs w:val="21"/>
        </w:rPr>
        <w:t xml:space="preserve">Vendor access is logged and reviewed quarterly as part of access control reviews</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Vendor Risk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Risk Assessment</dc:title>
  <dc:creator>Altnetix LLC</dc:creator>
  <dc:description>Evaluates security and compliance posture of critical third-party vendors with access to Company systems or PHI.</dc:description>
  <cp:lastModifiedBy>Un-named</cp:lastModifiedBy>
  <cp:revision>1</cp:revision>
  <dcterms:created xsi:type="dcterms:W3CDTF">2026-06-09T16:58:18.857Z</dcterms:created>
  <dcterms:modified xsi:type="dcterms:W3CDTF">2026-06-09T16:58:18.857Z</dcterms:modified>
</cp:coreProperties>
</file>

<file path=docProps/custom.xml><?xml version="1.0" encoding="utf-8"?>
<Properties xmlns="http://schemas.openxmlformats.org/officeDocument/2006/custom-properties" xmlns:vt="http://schemas.openxmlformats.org/officeDocument/2006/docPropsVTypes"/>
</file>